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B5CE9" w14:textId="23F13B95" w:rsidR="00E31E0B" w:rsidRPr="00405115" w:rsidRDefault="001F5348">
      <w:pPr>
        <w:spacing w:after="0" w:line="240" w:lineRule="auto"/>
        <w:ind w:firstLine="0"/>
        <w:jc w:val="center"/>
        <w:rPr>
          <w:b/>
          <w:sz w:val="24"/>
          <w:lang w:val="en-US"/>
        </w:rPr>
      </w:pPr>
      <w:r w:rsidRPr="00405115">
        <w:rPr>
          <w:b/>
          <w:sz w:val="24"/>
          <w:lang w:val="en-US"/>
        </w:rPr>
        <w:t xml:space="preserve">Technical Specifications for the provision of services for development of approaches and modelling of the assessment of the </w:t>
      </w:r>
      <w:r w:rsidR="003974D5">
        <w:rPr>
          <w:b/>
          <w:sz w:val="24"/>
          <w:lang w:val="en-US"/>
        </w:rPr>
        <w:t>Bank</w:t>
      </w:r>
      <w:r w:rsidRPr="00405115">
        <w:rPr>
          <w:b/>
          <w:sz w:val="24"/>
          <w:lang w:val="en-US"/>
        </w:rPr>
        <w:t xml:space="preserve"> projects’ impact on the economy of the </w:t>
      </w:r>
      <w:r w:rsidR="00E04AAB" w:rsidRPr="00405115">
        <w:rPr>
          <w:b/>
          <w:sz w:val="24"/>
          <w:lang w:val="en-US"/>
        </w:rPr>
        <w:t>member states</w:t>
      </w:r>
    </w:p>
    <w:p w14:paraId="267D9984" w14:textId="77777777" w:rsidR="008576BC" w:rsidRPr="00405115" w:rsidRDefault="008576BC" w:rsidP="00046F7C">
      <w:pPr>
        <w:spacing w:line="240" w:lineRule="auto"/>
        <w:rPr>
          <w:lang w:val="en-US"/>
        </w:rPr>
      </w:pPr>
    </w:p>
    <w:p w14:paraId="00B237EA" w14:textId="418339B5" w:rsidR="00E31E0B" w:rsidRPr="00405115" w:rsidRDefault="001F5348" w:rsidP="00826FD1">
      <w:pPr>
        <w:pStyle w:val="1"/>
        <w:spacing w:before="0" w:after="0"/>
        <w:rPr>
          <w:bCs w:val="0"/>
          <w:sz w:val="24"/>
          <w:szCs w:val="24"/>
          <w:lang w:val="en-US"/>
        </w:rPr>
      </w:pPr>
      <w:r w:rsidRPr="00405115">
        <w:rPr>
          <w:bCs w:val="0"/>
          <w:sz w:val="24"/>
          <w:szCs w:val="24"/>
          <w:lang w:val="en-US"/>
        </w:rPr>
        <w:t>Goal and objectives of the provision of services</w:t>
      </w:r>
    </w:p>
    <w:p w14:paraId="4C809B2C" w14:textId="1DDE7F30" w:rsidR="00B14A57" w:rsidRPr="00405115" w:rsidRDefault="001F5348" w:rsidP="00826FD1">
      <w:pPr>
        <w:spacing w:after="0" w:line="240" w:lineRule="auto"/>
        <w:rPr>
          <w:lang w:val="en-US"/>
        </w:rPr>
      </w:pPr>
      <w:r w:rsidRPr="00405115">
        <w:rPr>
          <w:lang w:val="en-US"/>
        </w:rPr>
        <w:t xml:space="preserve">The goal of the </w:t>
      </w:r>
      <w:r w:rsidR="00755BD2" w:rsidRPr="00405115">
        <w:rPr>
          <w:lang w:val="en-US"/>
        </w:rPr>
        <w:t>requested</w:t>
      </w:r>
      <w:r w:rsidRPr="00405115">
        <w:rPr>
          <w:lang w:val="en-US"/>
        </w:rPr>
        <w:t xml:space="preserve"> services consists in the provision of assistance in improving the assessment system of the results</w:t>
      </w:r>
      <w:r w:rsidR="00755BD2" w:rsidRPr="00405115">
        <w:rPr>
          <w:lang w:val="en-US"/>
        </w:rPr>
        <w:t>, generated</w:t>
      </w:r>
      <w:r w:rsidRPr="00405115">
        <w:rPr>
          <w:lang w:val="en-US"/>
        </w:rPr>
        <w:t xml:space="preserve"> for the </w:t>
      </w:r>
      <w:r w:rsidR="00E04AAB" w:rsidRPr="00405115">
        <w:rPr>
          <w:lang w:val="en-US"/>
        </w:rPr>
        <w:t>member states</w:t>
      </w:r>
      <w:r w:rsidRPr="00405115">
        <w:rPr>
          <w:lang w:val="en-US"/>
        </w:rPr>
        <w:t>’</w:t>
      </w:r>
      <w:r w:rsidR="00755BD2" w:rsidRPr="00405115">
        <w:rPr>
          <w:lang w:val="en-US"/>
        </w:rPr>
        <w:t xml:space="preserve"> economies by the projects</w:t>
      </w:r>
      <w:r w:rsidRPr="00405115">
        <w:rPr>
          <w:lang w:val="en-US"/>
        </w:rPr>
        <w:t>, financed by the Eurasian development bank (hereinafter referred to as the EDB, the Bank),</w:t>
      </w:r>
      <w:r w:rsidR="00755BD2" w:rsidRPr="00405115">
        <w:rPr>
          <w:lang w:val="en-US"/>
        </w:rPr>
        <w:t xml:space="preserve"> with the best practices of the international development banks (hereinafter referred to as the IDBs) being taken into account.</w:t>
      </w:r>
    </w:p>
    <w:p w14:paraId="165E89E7" w14:textId="0F58C287" w:rsidR="003A62E6" w:rsidRPr="00405115" w:rsidRDefault="00755BD2" w:rsidP="00826FD1">
      <w:pPr>
        <w:spacing w:after="0" w:line="240" w:lineRule="auto"/>
        <w:rPr>
          <w:lang w:val="en-US"/>
        </w:rPr>
      </w:pPr>
      <w:r w:rsidRPr="00405115">
        <w:rPr>
          <w:lang w:val="en-US"/>
        </w:rPr>
        <w:t>The subject of the services, provided by the Contractor, includes:</w:t>
      </w:r>
    </w:p>
    <w:p w14:paraId="12FFDDF5" w14:textId="29D70633" w:rsidR="00A437CB" w:rsidRDefault="00755BD2" w:rsidP="005D5209">
      <w:pPr>
        <w:pStyle w:val="a0"/>
        <w:numPr>
          <w:ilvl w:val="0"/>
          <w:numId w:val="33"/>
        </w:numPr>
        <w:spacing w:after="0" w:line="240" w:lineRule="auto"/>
        <w:ind w:left="0" w:firstLine="709"/>
        <w:rPr>
          <w:lang w:val="en-US"/>
        </w:rPr>
      </w:pPr>
      <w:r w:rsidRPr="00405115">
        <w:rPr>
          <w:lang w:val="en-US"/>
        </w:rPr>
        <w:t xml:space="preserve">The analysis of the IDBs’ best practices, employed for assessing the effects, generated for the IDBs’ </w:t>
      </w:r>
      <w:r w:rsidR="00E04AAB" w:rsidRPr="00405115">
        <w:rPr>
          <w:lang w:val="en-US"/>
        </w:rPr>
        <w:t>member states</w:t>
      </w:r>
      <w:r w:rsidRPr="00405115">
        <w:rPr>
          <w:lang w:val="en-US"/>
        </w:rPr>
        <w:t xml:space="preserve"> by the projects, financed by the IDBs</w:t>
      </w:r>
      <w:r w:rsidR="003974D5">
        <w:rPr>
          <w:lang w:val="en-US"/>
        </w:rPr>
        <w:t>, and the draft of conclusions gained during the analysis</w:t>
      </w:r>
      <w:r w:rsidRPr="00405115">
        <w:rPr>
          <w:lang w:val="en-US"/>
        </w:rPr>
        <w:t>;</w:t>
      </w:r>
    </w:p>
    <w:p w14:paraId="3915A5A0" w14:textId="3325BBE7" w:rsidR="003974D5" w:rsidRPr="00405115" w:rsidRDefault="003974D5" w:rsidP="005D5209">
      <w:pPr>
        <w:pStyle w:val="a0"/>
        <w:numPr>
          <w:ilvl w:val="0"/>
          <w:numId w:val="33"/>
        </w:numPr>
        <w:spacing w:after="0" w:line="240" w:lineRule="auto"/>
        <w:ind w:left="0" w:firstLine="709"/>
        <w:rPr>
          <w:lang w:val="en-US"/>
        </w:rPr>
      </w:pPr>
      <w:r>
        <w:rPr>
          <w:lang w:val="en-US"/>
        </w:rPr>
        <w:t>To prepare an overview of the current global trends in the development of approaches to development impact assessment in order to apply them to developing the assessment system of the results of the EDB-financed projects.</w:t>
      </w:r>
    </w:p>
    <w:p w14:paraId="063F3DC4" w14:textId="400D912C" w:rsidR="0023791F" w:rsidRPr="00405115" w:rsidRDefault="00755BD2" w:rsidP="0023791F">
      <w:pPr>
        <w:pStyle w:val="a0"/>
        <w:numPr>
          <w:ilvl w:val="0"/>
          <w:numId w:val="33"/>
        </w:numPr>
        <w:spacing w:after="0" w:line="240" w:lineRule="auto"/>
        <w:ind w:left="0" w:firstLine="709"/>
        <w:rPr>
          <w:lang w:val="en-US"/>
        </w:rPr>
      </w:pPr>
      <w:r w:rsidRPr="00405115">
        <w:rPr>
          <w:lang w:val="en-US"/>
        </w:rPr>
        <w:t>Selection of the EDB investment projects for the assessment of their development impact, generated for</w:t>
      </w:r>
      <w:r w:rsidR="0023791F" w:rsidRPr="00405115">
        <w:rPr>
          <w:lang w:val="en-US"/>
        </w:rPr>
        <w:t xml:space="preserve"> the Bank’s </w:t>
      </w:r>
      <w:r w:rsidR="00E04AAB" w:rsidRPr="00405115">
        <w:rPr>
          <w:lang w:val="en-US"/>
        </w:rPr>
        <w:t>member states</w:t>
      </w:r>
      <w:r w:rsidR="0023791F" w:rsidRPr="00405115">
        <w:rPr>
          <w:lang w:val="en-US"/>
        </w:rPr>
        <w:t>.</w:t>
      </w:r>
      <w:r w:rsidRPr="00405115">
        <w:rPr>
          <w:lang w:val="en-US"/>
        </w:rPr>
        <w:t xml:space="preserve"> </w:t>
      </w:r>
    </w:p>
    <w:p w14:paraId="13469374" w14:textId="4DF6BC70" w:rsidR="0023791F" w:rsidRPr="00405115" w:rsidRDefault="0023791F" w:rsidP="0023791F">
      <w:pPr>
        <w:pStyle w:val="a0"/>
        <w:numPr>
          <w:ilvl w:val="0"/>
          <w:numId w:val="33"/>
        </w:numPr>
        <w:spacing w:after="0" w:line="240" w:lineRule="auto"/>
        <w:ind w:left="0" w:firstLine="709"/>
        <w:rPr>
          <w:lang w:val="en-US"/>
        </w:rPr>
      </w:pPr>
      <w:r w:rsidRPr="00405115">
        <w:rPr>
          <w:lang w:val="en-US"/>
        </w:rPr>
        <w:t>The comparative analysis of the applicability of the identified IDBs’ best practices</w:t>
      </w:r>
      <w:r w:rsidR="003974D5">
        <w:rPr>
          <w:lang w:val="en-US"/>
        </w:rPr>
        <w:t>, global trends and prospective development impact assessment approaches</w:t>
      </w:r>
      <w:r w:rsidRPr="00405115">
        <w:rPr>
          <w:lang w:val="en-US"/>
        </w:rPr>
        <w:t xml:space="preserve"> to the assessment of the effects, generated for the Bank’s </w:t>
      </w:r>
      <w:r w:rsidR="00E04AAB" w:rsidRPr="00405115">
        <w:rPr>
          <w:lang w:val="en-US"/>
        </w:rPr>
        <w:t>member states</w:t>
      </w:r>
      <w:r w:rsidRPr="00405115">
        <w:rPr>
          <w:lang w:val="en-US"/>
        </w:rPr>
        <w:t xml:space="preserve"> by the projects, financed by the EDB;</w:t>
      </w:r>
    </w:p>
    <w:p w14:paraId="0A4614BC" w14:textId="326B9703" w:rsidR="0010733A" w:rsidRPr="00405115" w:rsidRDefault="0023791F" w:rsidP="0023791F">
      <w:pPr>
        <w:pStyle w:val="a0"/>
        <w:numPr>
          <w:ilvl w:val="0"/>
          <w:numId w:val="33"/>
        </w:numPr>
        <w:spacing w:after="0" w:line="240" w:lineRule="auto"/>
        <w:ind w:left="0" w:firstLine="709"/>
        <w:rPr>
          <w:lang w:val="en-US"/>
        </w:rPr>
      </w:pPr>
      <w:r w:rsidRPr="00405115">
        <w:rPr>
          <w:lang w:val="en-US"/>
        </w:rPr>
        <w:t xml:space="preserve">The methodological recommendations for assessing the effects, generated for the economies of the Bank's </w:t>
      </w:r>
      <w:r w:rsidR="00E04AAB" w:rsidRPr="00405115">
        <w:rPr>
          <w:lang w:val="en-US"/>
        </w:rPr>
        <w:t>member states</w:t>
      </w:r>
      <w:r w:rsidRPr="00405115">
        <w:rPr>
          <w:lang w:val="en-US"/>
        </w:rPr>
        <w:t xml:space="preserve"> by the particular projects, approved by the EDB;</w:t>
      </w:r>
    </w:p>
    <w:p w14:paraId="0BF9BE45" w14:textId="3803565A" w:rsidR="0023791F" w:rsidRPr="00405115" w:rsidRDefault="0023791F" w:rsidP="0023791F">
      <w:pPr>
        <w:pStyle w:val="a0"/>
        <w:numPr>
          <w:ilvl w:val="0"/>
          <w:numId w:val="33"/>
        </w:numPr>
        <w:spacing w:after="0" w:line="240" w:lineRule="auto"/>
        <w:ind w:left="0" w:firstLine="709"/>
        <w:rPr>
          <w:lang w:val="en-US"/>
        </w:rPr>
      </w:pPr>
      <w:r w:rsidRPr="00405115">
        <w:rPr>
          <w:lang w:val="en-US"/>
        </w:rPr>
        <w:t>Assess</w:t>
      </w:r>
      <w:r w:rsidR="009D062C" w:rsidRPr="00405115">
        <w:rPr>
          <w:lang w:val="en-US"/>
        </w:rPr>
        <w:t xml:space="preserve">ment </w:t>
      </w:r>
      <w:r w:rsidR="003974D5">
        <w:rPr>
          <w:lang w:val="en-US"/>
        </w:rPr>
        <w:t xml:space="preserve">of </w:t>
      </w:r>
      <w:r w:rsidR="009D062C" w:rsidRPr="00405115">
        <w:rPr>
          <w:lang w:val="en-US"/>
        </w:rPr>
        <w:t xml:space="preserve">the effects, generated for </w:t>
      </w:r>
      <w:r w:rsidRPr="00405115">
        <w:rPr>
          <w:lang w:val="en-US"/>
        </w:rPr>
        <w:t xml:space="preserve">the economies of </w:t>
      </w:r>
      <w:r w:rsidR="009D062C" w:rsidRPr="00405115">
        <w:rPr>
          <w:lang w:val="en-US"/>
        </w:rPr>
        <w:t xml:space="preserve">the </w:t>
      </w:r>
      <w:r w:rsidRPr="00405115">
        <w:rPr>
          <w:lang w:val="en-US"/>
        </w:rPr>
        <w:t>EDB</w:t>
      </w:r>
      <w:r w:rsidR="009D062C" w:rsidRPr="00405115">
        <w:rPr>
          <w:lang w:val="en-US"/>
        </w:rPr>
        <w:t xml:space="preserve">’s </w:t>
      </w:r>
      <w:r w:rsidR="00E04AAB" w:rsidRPr="00405115">
        <w:rPr>
          <w:lang w:val="en-US"/>
        </w:rPr>
        <w:t>member states</w:t>
      </w:r>
      <w:r w:rsidR="009D062C" w:rsidRPr="00405115">
        <w:rPr>
          <w:lang w:val="en-US"/>
        </w:rPr>
        <w:t xml:space="preserve"> by the particular </w:t>
      </w:r>
      <w:r w:rsidRPr="00405115">
        <w:rPr>
          <w:lang w:val="en-US"/>
        </w:rPr>
        <w:t>projects of the Bank</w:t>
      </w:r>
      <w:r w:rsidR="009D062C" w:rsidRPr="00405115">
        <w:rPr>
          <w:lang w:val="en-US"/>
        </w:rPr>
        <w:t xml:space="preserve">, whose list is to be approved </w:t>
      </w:r>
      <w:r w:rsidRPr="00405115">
        <w:rPr>
          <w:lang w:val="en-US"/>
        </w:rPr>
        <w:t xml:space="preserve">by </w:t>
      </w:r>
      <w:r w:rsidR="009D062C" w:rsidRPr="00405115">
        <w:rPr>
          <w:lang w:val="en-US"/>
        </w:rPr>
        <w:t xml:space="preserve">the </w:t>
      </w:r>
      <w:r w:rsidRPr="00405115">
        <w:rPr>
          <w:lang w:val="en-US"/>
        </w:rPr>
        <w:t>EDB</w:t>
      </w:r>
      <w:r w:rsidR="009D062C" w:rsidRPr="00405115">
        <w:rPr>
          <w:lang w:val="en-US"/>
        </w:rPr>
        <w:t>, in accordance with</w:t>
      </w:r>
      <w:r w:rsidRPr="00405115">
        <w:rPr>
          <w:lang w:val="en-US"/>
        </w:rPr>
        <w:t xml:space="preserve"> the developed methodological recommendations;</w:t>
      </w:r>
    </w:p>
    <w:p w14:paraId="3ED7B5B3" w14:textId="142D2A54" w:rsidR="009D062C" w:rsidRPr="00405115" w:rsidRDefault="009D062C" w:rsidP="009D062C">
      <w:pPr>
        <w:pStyle w:val="a0"/>
        <w:numPr>
          <w:ilvl w:val="0"/>
          <w:numId w:val="33"/>
        </w:numPr>
        <w:spacing w:after="0" w:line="240" w:lineRule="auto"/>
        <w:ind w:left="0" w:firstLine="709"/>
        <w:rPr>
          <w:lang w:val="en-US"/>
        </w:rPr>
      </w:pPr>
      <w:r w:rsidRPr="00405115">
        <w:rPr>
          <w:lang w:val="en-US"/>
        </w:rPr>
        <w:t xml:space="preserve">Preparation of a conclusion on the possibility of employing the developed methodological recommendations to assess the effects, generated for the economies of the Bank's </w:t>
      </w:r>
      <w:r w:rsidR="00E04AAB" w:rsidRPr="00405115">
        <w:rPr>
          <w:lang w:val="en-US"/>
        </w:rPr>
        <w:t>member states</w:t>
      </w:r>
      <w:r w:rsidRPr="00405115">
        <w:rPr>
          <w:lang w:val="en-US"/>
        </w:rPr>
        <w:t xml:space="preserve"> by other EDB investment projects;</w:t>
      </w:r>
    </w:p>
    <w:p w14:paraId="29730E2D" w14:textId="7B99FB0F" w:rsidR="003A62E6" w:rsidRPr="00405115" w:rsidRDefault="001256C4" w:rsidP="005D5209">
      <w:pPr>
        <w:pStyle w:val="a0"/>
        <w:spacing w:after="0" w:line="240" w:lineRule="auto"/>
        <w:ind w:left="0"/>
        <w:rPr>
          <w:lang w:val="en-US"/>
        </w:rPr>
      </w:pPr>
      <w:r w:rsidRPr="00405115">
        <w:rPr>
          <w:lang w:val="en-US"/>
        </w:rPr>
        <w:t xml:space="preserve">See the detailed information on the complete volume of the requested services in Section 2 of the present Technical Specifications. </w:t>
      </w:r>
    </w:p>
    <w:p w14:paraId="39ABC100" w14:textId="2A84F889" w:rsidR="00D54E39" w:rsidRPr="00405115" w:rsidRDefault="001256C4" w:rsidP="009041F8">
      <w:pPr>
        <w:shd w:val="clear" w:color="auto" w:fill="auto"/>
        <w:spacing w:after="0" w:line="240" w:lineRule="auto"/>
        <w:rPr>
          <w:lang w:val="en-US"/>
        </w:rPr>
      </w:pPr>
      <w:r w:rsidRPr="00405115">
        <w:rPr>
          <w:lang w:val="en-US"/>
        </w:rPr>
        <w:t>For the purposes of the present technical specifications, the term "effect" is equivalent to the term "impact" from the Economic Cooperation Organization glossary, which is defined as "Positive and negative, primary and secondary long-term c</w:t>
      </w:r>
      <w:r w:rsidR="00596955" w:rsidRPr="00405115">
        <w:rPr>
          <w:lang w:val="en-US"/>
        </w:rPr>
        <w:t xml:space="preserve">onsequences, generated by the </w:t>
      </w:r>
      <w:r w:rsidRPr="00405115">
        <w:rPr>
          <w:lang w:val="en-US"/>
        </w:rPr>
        <w:t>development</w:t>
      </w:r>
      <w:r w:rsidR="00596955" w:rsidRPr="00405115">
        <w:rPr>
          <w:lang w:val="en-US"/>
        </w:rPr>
        <w:t>-oriented</w:t>
      </w:r>
      <w:r w:rsidRPr="00405115">
        <w:rPr>
          <w:lang w:val="en-US"/>
        </w:rPr>
        <w:t xml:space="preserve"> activities, whether direct or indirect, intended or unintended"</w:t>
      </w:r>
      <w:r w:rsidR="00596955" w:rsidRPr="00405115">
        <w:rPr>
          <w:vertAlign w:val="superscript"/>
          <w:lang w:val="en-US"/>
        </w:rPr>
        <w:t>1</w:t>
      </w:r>
      <w:r w:rsidRPr="00405115">
        <w:rPr>
          <w:lang w:val="en-US"/>
        </w:rPr>
        <w:t>.</w:t>
      </w:r>
    </w:p>
    <w:p w14:paraId="26441052" w14:textId="17AF132F" w:rsidR="00824517" w:rsidRDefault="003974D5" w:rsidP="00757AF0">
      <w:pPr>
        <w:shd w:val="clear" w:color="auto" w:fill="auto"/>
        <w:spacing w:after="0" w:line="240" w:lineRule="auto"/>
        <w:rPr>
          <w:lang w:val="en-US"/>
        </w:rPr>
      </w:pPr>
      <w:r w:rsidRPr="003974D5">
        <w:rPr>
          <w:lang w:val="en-US"/>
        </w:rPr>
        <w:t>The result of the services</w:t>
      </w:r>
      <w:r>
        <w:rPr>
          <w:lang w:val="en-US"/>
        </w:rPr>
        <w:t xml:space="preserve">, provided by the Contractor, shall consist in the </w:t>
      </w:r>
      <w:r w:rsidRPr="003974D5">
        <w:rPr>
          <w:lang w:val="en-US"/>
        </w:rPr>
        <w:t>improve</w:t>
      </w:r>
      <w:r>
        <w:rPr>
          <w:lang w:val="en-US"/>
        </w:rPr>
        <w:t xml:space="preserve">ment of </w:t>
      </w:r>
      <w:r w:rsidRPr="003974D5">
        <w:rPr>
          <w:lang w:val="en-US"/>
        </w:rPr>
        <w:t xml:space="preserve">the EDB's practices in terms of assessing the results of </w:t>
      </w:r>
      <w:r>
        <w:rPr>
          <w:lang w:val="en-US"/>
        </w:rPr>
        <w:t xml:space="preserve">the </w:t>
      </w:r>
      <w:r w:rsidRPr="003974D5">
        <w:rPr>
          <w:lang w:val="en-US"/>
        </w:rPr>
        <w:t>projects</w:t>
      </w:r>
      <w:r>
        <w:rPr>
          <w:lang w:val="en-US"/>
        </w:rPr>
        <w:t>,</w:t>
      </w:r>
      <w:r w:rsidRPr="003974D5">
        <w:rPr>
          <w:lang w:val="en-US"/>
        </w:rPr>
        <w:t xml:space="preserve"> financed by the Bank</w:t>
      </w:r>
      <w:r>
        <w:rPr>
          <w:lang w:val="en-US"/>
        </w:rPr>
        <w:t>,</w:t>
      </w:r>
      <w:r w:rsidRPr="003974D5">
        <w:rPr>
          <w:lang w:val="en-US"/>
        </w:rPr>
        <w:t xml:space="preserve"> for the economi</w:t>
      </w:r>
      <w:r>
        <w:rPr>
          <w:lang w:val="en-US"/>
        </w:rPr>
        <w:t>es of the Bank's member states in accordance with the best practices of the I</w:t>
      </w:r>
      <w:r w:rsidRPr="003974D5">
        <w:rPr>
          <w:lang w:val="en-US"/>
        </w:rPr>
        <w:t>DBs and current global trends in the developmen</w:t>
      </w:r>
      <w:r>
        <w:rPr>
          <w:lang w:val="en-US"/>
        </w:rPr>
        <w:t>t of approaches to development impact assessment</w:t>
      </w:r>
      <w:r w:rsidRPr="003974D5">
        <w:rPr>
          <w:lang w:val="en-US"/>
        </w:rPr>
        <w:t xml:space="preserve">, as well as the use of project </w:t>
      </w:r>
      <w:r w:rsidR="00757AF0">
        <w:rPr>
          <w:lang w:val="en-US"/>
        </w:rPr>
        <w:t>impact assessment for drafting</w:t>
      </w:r>
      <w:r w:rsidRPr="003974D5">
        <w:rPr>
          <w:lang w:val="en-US"/>
        </w:rPr>
        <w:t xml:space="preserve"> </w:t>
      </w:r>
      <w:r w:rsidR="00757AF0">
        <w:rPr>
          <w:lang w:val="en-US"/>
        </w:rPr>
        <w:t>t</w:t>
      </w:r>
      <w:r w:rsidRPr="003974D5">
        <w:rPr>
          <w:lang w:val="en-US"/>
        </w:rPr>
        <w:t>he EDB's pool of p</w:t>
      </w:r>
      <w:r w:rsidR="00757AF0">
        <w:rPr>
          <w:lang w:val="en-US"/>
        </w:rPr>
        <w:t>rospective projects.</w:t>
      </w:r>
    </w:p>
    <w:p w14:paraId="327FB7D5" w14:textId="35D41FD9" w:rsidR="00757AF0" w:rsidRDefault="00757AF0" w:rsidP="00757AF0">
      <w:pPr>
        <w:shd w:val="clear" w:color="auto" w:fill="auto"/>
        <w:spacing w:after="0" w:line="240" w:lineRule="auto"/>
        <w:rPr>
          <w:lang w:val="en-US"/>
        </w:rPr>
      </w:pPr>
      <w:r w:rsidRPr="00757AF0">
        <w:rPr>
          <w:lang w:val="en-US"/>
        </w:rPr>
        <w:t xml:space="preserve">The results obtained by the Bank will also be used </w:t>
      </w:r>
      <w:r>
        <w:rPr>
          <w:lang w:val="en-US"/>
        </w:rPr>
        <w:t xml:space="preserve">for developing </w:t>
      </w:r>
      <w:r w:rsidRPr="00757AF0">
        <w:rPr>
          <w:lang w:val="en-US"/>
        </w:rPr>
        <w:t xml:space="preserve">and updating </w:t>
      </w:r>
      <w:r>
        <w:rPr>
          <w:lang w:val="en-US"/>
        </w:rPr>
        <w:t xml:space="preserve">the </w:t>
      </w:r>
      <w:r w:rsidRPr="00757AF0">
        <w:rPr>
          <w:lang w:val="en-US"/>
        </w:rPr>
        <w:t xml:space="preserve">strategic priorities for the development of </w:t>
      </w:r>
      <w:r>
        <w:rPr>
          <w:lang w:val="en-US"/>
        </w:rPr>
        <w:t>the EDB</w:t>
      </w:r>
      <w:r w:rsidRPr="00757AF0">
        <w:rPr>
          <w:lang w:val="en-US"/>
        </w:rPr>
        <w:t xml:space="preserve"> activities as a key multilateral development par</w:t>
      </w:r>
      <w:r>
        <w:rPr>
          <w:lang w:val="en-US"/>
        </w:rPr>
        <w:t xml:space="preserve">tner bank in the member states </w:t>
      </w:r>
      <w:r w:rsidRPr="00757AF0">
        <w:rPr>
          <w:lang w:val="en-US"/>
        </w:rPr>
        <w:t>not only in the current period, but also in preparation for the upcoming strategic planning period after 2026.</w:t>
      </w:r>
    </w:p>
    <w:p w14:paraId="25D68FB1" w14:textId="692927ED" w:rsidR="00BD1755" w:rsidRPr="003974D5" w:rsidRDefault="00BD1755" w:rsidP="00757AF0">
      <w:pPr>
        <w:shd w:val="clear" w:color="auto" w:fill="auto"/>
        <w:spacing w:after="0" w:line="240" w:lineRule="auto"/>
        <w:rPr>
          <w:lang w:val="en-US"/>
        </w:rPr>
      </w:pPr>
      <w:r w:rsidRPr="00BD1755">
        <w:rPr>
          <w:lang w:val="en-US"/>
        </w:rPr>
        <w:t>Det</w:t>
      </w:r>
      <w:r>
        <w:rPr>
          <w:lang w:val="en-US"/>
        </w:rPr>
        <w:t>ailed information</w:t>
      </w:r>
      <w:r w:rsidRPr="00BD1755">
        <w:rPr>
          <w:lang w:val="en-US"/>
        </w:rPr>
        <w:t xml:space="preserve"> </w:t>
      </w:r>
      <w:r>
        <w:rPr>
          <w:lang w:val="en-US"/>
        </w:rPr>
        <w:t>related to</w:t>
      </w:r>
      <w:r w:rsidRPr="00BD1755">
        <w:rPr>
          <w:lang w:val="en-US"/>
        </w:rPr>
        <w:t xml:space="preserve"> the reporting documents </w:t>
      </w:r>
      <w:proofErr w:type="gramStart"/>
      <w:r>
        <w:rPr>
          <w:lang w:val="en-US"/>
        </w:rPr>
        <w:t>is specified</w:t>
      </w:r>
      <w:proofErr w:type="gramEnd"/>
      <w:r>
        <w:rPr>
          <w:lang w:val="en-US"/>
        </w:rPr>
        <w:t xml:space="preserve"> in Section 2 of the present Technical Specifications</w:t>
      </w:r>
      <w:r w:rsidRPr="00BD1755">
        <w:rPr>
          <w:lang w:val="en-US"/>
        </w:rPr>
        <w:t>.</w:t>
      </w:r>
    </w:p>
    <w:p w14:paraId="1F5ACC48" w14:textId="77777777" w:rsidR="00826FD1" w:rsidRPr="003974D5" w:rsidRDefault="00826FD1" w:rsidP="00826FD1">
      <w:pPr>
        <w:spacing w:after="0" w:line="240" w:lineRule="auto"/>
        <w:rPr>
          <w:lang w:val="en-US"/>
        </w:rPr>
      </w:pPr>
    </w:p>
    <w:p w14:paraId="6F1CDC6A" w14:textId="760FE5E4" w:rsidR="00E31E0B" w:rsidRPr="00405115" w:rsidRDefault="00596955" w:rsidP="00826FD1">
      <w:pPr>
        <w:pStyle w:val="1"/>
        <w:spacing w:before="0" w:after="0"/>
        <w:rPr>
          <w:bCs w:val="0"/>
          <w:sz w:val="24"/>
          <w:szCs w:val="24"/>
          <w:lang w:val="en-US"/>
        </w:rPr>
      </w:pPr>
      <w:r w:rsidRPr="00405115">
        <w:rPr>
          <w:bCs w:val="0"/>
          <w:sz w:val="24"/>
          <w:szCs w:val="24"/>
          <w:lang w:val="en-US"/>
        </w:rPr>
        <w:lastRenderedPageBreak/>
        <w:t>Services scope and stages</w:t>
      </w:r>
    </w:p>
    <w:p w14:paraId="28A99D64" w14:textId="77777777" w:rsidR="00826FD1" w:rsidRPr="00405115" w:rsidRDefault="00826FD1" w:rsidP="00826FD1">
      <w:pPr>
        <w:spacing w:after="0" w:line="240" w:lineRule="auto"/>
        <w:rPr>
          <w:lang w:val="en-US" w:eastAsia="x-none"/>
        </w:rPr>
      </w:pPr>
    </w:p>
    <w:p w14:paraId="5D7C4069" w14:textId="4570E9C2" w:rsidR="00491A51" w:rsidRPr="00405115" w:rsidRDefault="00596955" w:rsidP="00826FD1">
      <w:pPr>
        <w:spacing w:after="0" w:line="240" w:lineRule="auto"/>
        <w:rPr>
          <w:lang w:val="en-US" w:eastAsia="x-none"/>
        </w:rPr>
      </w:pPr>
      <w:r w:rsidRPr="00405115">
        <w:rPr>
          <w:lang w:val="en-US" w:eastAsia="x-none"/>
        </w:rPr>
        <w:t>The Contractor shall provide the requested services within three consecutive stages.</w:t>
      </w:r>
    </w:p>
    <w:p w14:paraId="637D215C" w14:textId="77777777" w:rsidR="00734817" w:rsidRPr="00405115" w:rsidRDefault="00734817" w:rsidP="00826FD1">
      <w:pPr>
        <w:spacing w:after="0" w:line="240" w:lineRule="auto"/>
        <w:rPr>
          <w:lang w:val="en-US" w:eastAsia="x-none"/>
        </w:rPr>
      </w:pPr>
    </w:p>
    <w:p w14:paraId="3CE49721" w14:textId="21F65E04" w:rsidR="00B04F18" w:rsidRPr="00405115" w:rsidRDefault="007443A7" w:rsidP="007443A7">
      <w:pPr>
        <w:pStyle w:val="2"/>
        <w:numPr>
          <w:ilvl w:val="0"/>
          <w:numId w:val="0"/>
        </w:numPr>
        <w:spacing w:before="0" w:after="0" w:line="240" w:lineRule="auto"/>
        <w:ind w:left="851"/>
        <w:rPr>
          <w:sz w:val="22"/>
          <w:szCs w:val="22"/>
          <w:u w:val="single"/>
          <w:lang w:val="en-US"/>
        </w:rPr>
      </w:pPr>
      <w:r w:rsidRPr="00405115">
        <w:rPr>
          <w:sz w:val="22"/>
          <w:szCs w:val="22"/>
          <w:u w:val="single"/>
          <w:lang w:val="en-US"/>
        </w:rPr>
        <w:t xml:space="preserve">Stage 1. </w:t>
      </w:r>
      <w:r w:rsidR="00A642A5" w:rsidRPr="00405115">
        <w:rPr>
          <w:sz w:val="22"/>
          <w:szCs w:val="22"/>
          <w:u w:val="single"/>
          <w:lang w:val="en-US"/>
        </w:rPr>
        <w:t>Analysis of the IDBs’ best practices</w:t>
      </w:r>
    </w:p>
    <w:p w14:paraId="22CE960A" w14:textId="57252D50" w:rsidR="00B13013" w:rsidRPr="00405115" w:rsidRDefault="00A642A5" w:rsidP="00826FD1">
      <w:pPr>
        <w:spacing w:after="0" w:line="240" w:lineRule="auto"/>
        <w:rPr>
          <w:lang w:val="en-US"/>
        </w:rPr>
      </w:pPr>
      <w:r w:rsidRPr="00405115">
        <w:rPr>
          <w:lang w:val="en-US"/>
        </w:rPr>
        <w:t xml:space="preserve">The major goal of Stage 1 is to define the IDBs’ best practices in the assessment of impact on the economies of the IDBs’ </w:t>
      </w:r>
      <w:r w:rsidR="00E04AAB" w:rsidRPr="00405115">
        <w:rPr>
          <w:lang w:val="en-US"/>
        </w:rPr>
        <w:t>member states</w:t>
      </w:r>
      <w:r w:rsidRPr="00405115">
        <w:rPr>
          <w:lang w:val="en-US"/>
        </w:rPr>
        <w:t>, generated by the projects, financed by the IDBs.</w:t>
      </w:r>
    </w:p>
    <w:p w14:paraId="617910AC" w14:textId="53A00AF2" w:rsidR="00EB3592" w:rsidRPr="00405115" w:rsidRDefault="00A642A5" w:rsidP="000A2552">
      <w:pPr>
        <w:spacing w:after="0" w:line="240" w:lineRule="auto"/>
        <w:rPr>
          <w:lang w:val="en-US"/>
        </w:rPr>
      </w:pPr>
      <w:r w:rsidRPr="00405115">
        <w:rPr>
          <w:lang w:val="en-US"/>
        </w:rPr>
        <w:t xml:space="preserve">For providing services within Stage </w:t>
      </w:r>
      <w:r w:rsidR="001B13C2" w:rsidRPr="00405115">
        <w:rPr>
          <w:lang w:val="en-US"/>
        </w:rPr>
        <w:t>1,</w:t>
      </w:r>
      <w:r w:rsidRPr="00405115">
        <w:rPr>
          <w:lang w:val="en-US"/>
        </w:rPr>
        <w:t xml:space="preserve"> the Contractor shall focus on the best practices of the following IDBs</w:t>
      </w:r>
      <w:r w:rsidR="0043026E" w:rsidRPr="00405115">
        <w:rPr>
          <w:lang w:val="en-US"/>
        </w:rPr>
        <w:t>:</w:t>
      </w:r>
    </w:p>
    <w:p w14:paraId="300967BE" w14:textId="6AC4C1A4" w:rsidR="00C0429A" w:rsidRPr="00405115" w:rsidRDefault="00A642A5" w:rsidP="00826FD1">
      <w:pPr>
        <w:numPr>
          <w:ilvl w:val="0"/>
          <w:numId w:val="7"/>
        </w:numPr>
        <w:spacing w:after="0" w:line="240" w:lineRule="auto"/>
        <w:ind w:left="0" w:firstLine="992"/>
        <w:rPr>
          <w:lang w:val="en-US"/>
        </w:rPr>
      </w:pPr>
      <w:r w:rsidRPr="00405115">
        <w:rPr>
          <w:lang w:val="en-US"/>
        </w:rPr>
        <w:t>The Asian Infrastructure Investment Bank</w:t>
      </w:r>
      <w:r w:rsidR="00C0429A" w:rsidRPr="00405115">
        <w:rPr>
          <w:lang w:val="en-US"/>
        </w:rPr>
        <w:t>;</w:t>
      </w:r>
    </w:p>
    <w:p w14:paraId="7A75ECA5" w14:textId="51622767" w:rsidR="00A642A5" w:rsidRPr="00405115" w:rsidRDefault="00A642A5" w:rsidP="00826FD1">
      <w:pPr>
        <w:numPr>
          <w:ilvl w:val="0"/>
          <w:numId w:val="7"/>
        </w:numPr>
        <w:spacing w:after="0" w:line="240" w:lineRule="auto"/>
        <w:ind w:left="0" w:firstLine="992"/>
        <w:rPr>
          <w:lang w:val="en-US"/>
        </w:rPr>
      </w:pPr>
      <w:r w:rsidRPr="00405115">
        <w:rPr>
          <w:lang w:val="en-US"/>
        </w:rPr>
        <w:t>The Asian Development Bank (including the Asian Development Fund);</w:t>
      </w:r>
    </w:p>
    <w:p w14:paraId="1406E301" w14:textId="2995E1A5" w:rsidR="00C311D7" w:rsidRPr="00405115" w:rsidRDefault="003E60C0" w:rsidP="00826FD1">
      <w:pPr>
        <w:numPr>
          <w:ilvl w:val="0"/>
          <w:numId w:val="7"/>
        </w:numPr>
        <w:spacing w:after="0" w:line="240" w:lineRule="auto"/>
        <w:ind w:left="0" w:firstLine="992"/>
        <w:rPr>
          <w:lang w:val="en-US"/>
        </w:rPr>
      </w:pPr>
      <w:r w:rsidRPr="00405115">
        <w:rPr>
          <w:lang w:val="en-US"/>
        </w:rPr>
        <w:t>Latin American Development B</w:t>
      </w:r>
      <w:r w:rsidR="00975272" w:rsidRPr="00405115">
        <w:rPr>
          <w:lang w:val="en-US"/>
        </w:rPr>
        <w:t>ank</w:t>
      </w:r>
      <w:r w:rsidR="00C311D7" w:rsidRPr="00405115">
        <w:rPr>
          <w:lang w:val="en-US"/>
        </w:rPr>
        <w:t>;</w:t>
      </w:r>
    </w:p>
    <w:p w14:paraId="1CC6B917" w14:textId="01B034AF" w:rsidR="00C0429A" w:rsidRPr="00405115" w:rsidRDefault="00975272" w:rsidP="00826FD1">
      <w:pPr>
        <w:numPr>
          <w:ilvl w:val="0"/>
          <w:numId w:val="7"/>
        </w:numPr>
        <w:spacing w:after="0" w:line="240" w:lineRule="auto"/>
        <w:ind w:left="0" w:firstLine="992"/>
        <w:rPr>
          <w:lang w:val="en-US"/>
        </w:rPr>
      </w:pPr>
      <w:r w:rsidRPr="00405115">
        <w:rPr>
          <w:lang w:val="en-US"/>
        </w:rPr>
        <w:t>The African Development Bank</w:t>
      </w:r>
      <w:r w:rsidR="00C0429A" w:rsidRPr="00405115">
        <w:rPr>
          <w:lang w:val="en-US"/>
        </w:rPr>
        <w:t>;</w:t>
      </w:r>
    </w:p>
    <w:p w14:paraId="393E66B1" w14:textId="7192A98C" w:rsidR="00C311D7" w:rsidRPr="00405115" w:rsidRDefault="00975272" w:rsidP="00826FD1">
      <w:pPr>
        <w:numPr>
          <w:ilvl w:val="0"/>
          <w:numId w:val="7"/>
        </w:numPr>
        <w:spacing w:after="0" w:line="240" w:lineRule="auto"/>
        <w:ind w:left="0" w:firstLine="992"/>
        <w:rPr>
          <w:lang w:val="en-US"/>
        </w:rPr>
      </w:pPr>
      <w:r w:rsidRPr="00405115">
        <w:rPr>
          <w:lang w:val="en-US"/>
        </w:rPr>
        <w:t>World Bank Group</w:t>
      </w:r>
      <w:r w:rsidR="00C311D7" w:rsidRPr="00405115">
        <w:rPr>
          <w:lang w:val="en-US"/>
        </w:rPr>
        <w:t>;</w:t>
      </w:r>
    </w:p>
    <w:p w14:paraId="2BB42896" w14:textId="7F05D5C9" w:rsidR="00C0429A" w:rsidRPr="00405115" w:rsidRDefault="00975272" w:rsidP="00826FD1">
      <w:pPr>
        <w:numPr>
          <w:ilvl w:val="0"/>
          <w:numId w:val="7"/>
        </w:numPr>
        <w:spacing w:after="0" w:line="240" w:lineRule="auto"/>
        <w:ind w:left="0" w:firstLine="992"/>
        <w:rPr>
          <w:lang w:val="en-US"/>
        </w:rPr>
      </w:pPr>
      <w:r w:rsidRPr="00405115">
        <w:rPr>
          <w:lang w:val="en-US"/>
        </w:rPr>
        <w:t>The European Bank for Reconstruction and Development</w:t>
      </w:r>
      <w:r w:rsidR="00C0429A" w:rsidRPr="00405115">
        <w:rPr>
          <w:lang w:val="en-US"/>
        </w:rPr>
        <w:t>;</w:t>
      </w:r>
    </w:p>
    <w:p w14:paraId="3985CDA5" w14:textId="2365DFEE" w:rsidR="00C0429A" w:rsidRPr="00405115" w:rsidRDefault="00975272" w:rsidP="00826FD1">
      <w:pPr>
        <w:numPr>
          <w:ilvl w:val="0"/>
          <w:numId w:val="7"/>
        </w:numPr>
        <w:spacing w:after="0" w:line="240" w:lineRule="auto"/>
        <w:ind w:left="0" w:firstLine="992"/>
        <w:rPr>
          <w:lang w:val="en-US"/>
        </w:rPr>
      </w:pPr>
      <w:r w:rsidRPr="00405115">
        <w:rPr>
          <w:lang w:val="en-US"/>
        </w:rPr>
        <w:t>European Investment Bank</w:t>
      </w:r>
      <w:r w:rsidR="00C0429A" w:rsidRPr="00405115">
        <w:rPr>
          <w:lang w:val="en-US"/>
        </w:rPr>
        <w:t>;</w:t>
      </w:r>
    </w:p>
    <w:p w14:paraId="0E47DB23" w14:textId="3439D172" w:rsidR="004D642F" w:rsidRPr="00405115" w:rsidRDefault="00975272" w:rsidP="00826FD1">
      <w:pPr>
        <w:numPr>
          <w:ilvl w:val="0"/>
          <w:numId w:val="7"/>
        </w:numPr>
        <w:spacing w:after="0" w:line="240" w:lineRule="auto"/>
        <w:ind w:left="0" w:firstLine="992"/>
        <w:rPr>
          <w:lang w:val="en-US"/>
        </w:rPr>
      </w:pPr>
      <w:r w:rsidRPr="00405115">
        <w:rPr>
          <w:lang w:val="en-US"/>
        </w:rPr>
        <w:t>West African Development Bank</w:t>
      </w:r>
      <w:r w:rsidR="004D642F" w:rsidRPr="00405115">
        <w:rPr>
          <w:lang w:val="en-US"/>
        </w:rPr>
        <w:t>;</w:t>
      </w:r>
    </w:p>
    <w:p w14:paraId="5D2F13E6" w14:textId="5C0A6269" w:rsidR="00C0429A" w:rsidRPr="00405115" w:rsidRDefault="00975272" w:rsidP="00826FD1">
      <w:pPr>
        <w:numPr>
          <w:ilvl w:val="0"/>
          <w:numId w:val="7"/>
        </w:numPr>
        <w:spacing w:after="0" w:line="240" w:lineRule="auto"/>
        <w:ind w:left="0" w:firstLine="992"/>
        <w:rPr>
          <w:lang w:val="en-US"/>
        </w:rPr>
      </w:pPr>
      <w:r w:rsidRPr="00405115">
        <w:rPr>
          <w:lang w:val="en-US"/>
        </w:rPr>
        <w:t>The Islamic Development Bank</w:t>
      </w:r>
      <w:r w:rsidR="00C0429A" w:rsidRPr="00405115">
        <w:rPr>
          <w:lang w:val="en-US"/>
        </w:rPr>
        <w:t>;</w:t>
      </w:r>
    </w:p>
    <w:p w14:paraId="721B3A0A" w14:textId="7CB6A80D" w:rsidR="00C0429A" w:rsidRPr="00405115" w:rsidRDefault="00975272" w:rsidP="00826FD1">
      <w:pPr>
        <w:numPr>
          <w:ilvl w:val="0"/>
          <w:numId w:val="7"/>
        </w:numPr>
        <w:spacing w:after="0" w:line="240" w:lineRule="auto"/>
        <w:ind w:left="0" w:firstLine="992"/>
        <w:rPr>
          <w:lang w:val="en-US"/>
        </w:rPr>
      </w:pPr>
      <w:r w:rsidRPr="00405115">
        <w:rPr>
          <w:lang w:val="en-US"/>
        </w:rPr>
        <w:t>The New Development Bank</w:t>
      </w:r>
      <w:r w:rsidR="00C0429A" w:rsidRPr="00405115">
        <w:rPr>
          <w:lang w:val="en-US"/>
        </w:rPr>
        <w:t>;</w:t>
      </w:r>
    </w:p>
    <w:p w14:paraId="28BAD336" w14:textId="0F27977A" w:rsidR="004D642F" w:rsidRPr="00405115" w:rsidRDefault="00975272" w:rsidP="00826FD1">
      <w:pPr>
        <w:numPr>
          <w:ilvl w:val="0"/>
          <w:numId w:val="7"/>
        </w:numPr>
        <w:spacing w:after="0" w:line="240" w:lineRule="auto"/>
        <w:ind w:left="0" w:firstLine="992"/>
        <w:rPr>
          <w:lang w:val="en-US"/>
        </w:rPr>
      </w:pPr>
      <w:r w:rsidRPr="00405115">
        <w:rPr>
          <w:lang w:val="en-US"/>
        </w:rPr>
        <w:t>The Central American Bank for Economic Integration</w:t>
      </w:r>
      <w:r w:rsidR="004D642F" w:rsidRPr="00405115">
        <w:rPr>
          <w:lang w:val="en-US"/>
        </w:rPr>
        <w:t>;</w:t>
      </w:r>
    </w:p>
    <w:p w14:paraId="0C3E7EC6" w14:textId="237B1E11" w:rsidR="00C0429A" w:rsidRPr="00405115" w:rsidRDefault="00975272" w:rsidP="00826FD1">
      <w:pPr>
        <w:numPr>
          <w:ilvl w:val="0"/>
          <w:numId w:val="7"/>
        </w:numPr>
        <w:spacing w:after="0" w:line="240" w:lineRule="auto"/>
        <w:ind w:left="0" w:firstLine="992"/>
        <w:rPr>
          <w:lang w:val="en-US"/>
        </w:rPr>
      </w:pPr>
      <w:r w:rsidRPr="00405115">
        <w:rPr>
          <w:lang w:val="en-US"/>
        </w:rPr>
        <w:t>The Black Sea Trade and Development Bank</w:t>
      </w:r>
      <w:r w:rsidR="00D002DD" w:rsidRPr="00405115">
        <w:rPr>
          <w:lang w:val="en-US"/>
        </w:rPr>
        <w:t>.</w:t>
      </w:r>
    </w:p>
    <w:p w14:paraId="61356BFC" w14:textId="1DB4F523" w:rsidR="009203AB" w:rsidRPr="00405115" w:rsidRDefault="00C22100" w:rsidP="00826FD1">
      <w:pPr>
        <w:spacing w:after="0" w:line="240" w:lineRule="auto"/>
        <w:rPr>
          <w:lang w:val="en-US"/>
        </w:rPr>
      </w:pPr>
      <w:r w:rsidRPr="00405115">
        <w:rPr>
          <w:lang w:val="en-US"/>
        </w:rPr>
        <w:t>Upon agreement with the EDB, the Contractor may adjust the final list of IDBs, if they present reasoning for including or excluding the related IDB or another development institution.</w:t>
      </w:r>
    </w:p>
    <w:p w14:paraId="6B8265D1" w14:textId="64B9AA38" w:rsidR="00AE5816" w:rsidRPr="00405115" w:rsidRDefault="00C22100" w:rsidP="00AE5816">
      <w:pPr>
        <w:spacing w:after="0" w:line="240" w:lineRule="auto"/>
        <w:rPr>
          <w:lang w:val="en-US"/>
        </w:rPr>
      </w:pPr>
      <w:r w:rsidRPr="00405115">
        <w:rPr>
          <w:lang w:val="en-US"/>
        </w:rPr>
        <w:t>Within Stage 1, the Contractor shall provide the following services:</w:t>
      </w:r>
    </w:p>
    <w:p w14:paraId="0488F8DE" w14:textId="14B2FEF9" w:rsidR="00AE5816" w:rsidRPr="00405115" w:rsidRDefault="00C22100" w:rsidP="00AE5816">
      <w:pPr>
        <w:pStyle w:val="a0"/>
        <w:numPr>
          <w:ilvl w:val="0"/>
          <w:numId w:val="35"/>
        </w:numPr>
        <w:tabs>
          <w:tab w:val="left" w:pos="1134"/>
        </w:tabs>
        <w:spacing w:after="0" w:line="240" w:lineRule="auto"/>
        <w:ind w:left="0" w:firstLine="709"/>
        <w:rPr>
          <w:lang w:val="en-US"/>
        </w:rPr>
      </w:pPr>
      <w:r w:rsidRPr="00405115">
        <w:rPr>
          <w:lang w:val="en-US"/>
        </w:rPr>
        <w:t xml:space="preserve">To conduct a comprehensive analysis of the best practices of each of the IDBs, listed in the present section, for assessing the impact on the IDB </w:t>
      </w:r>
      <w:r w:rsidR="00E04AAB" w:rsidRPr="00405115">
        <w:rPr>
          <w:lang w:val="en-US"/>
        </w:rPr>
        <w:t>member states</w:t>
      </w:r>
      <w:r w:rsidRPr="00405115">
        <w:rPr>
          <w:lang w:val="en-US"/>
        </w:rPr>
        <w:t>’ economy, generated by the projects, financed by the IDBs, including:</w:t>
      </w:r>
    </w:p>
    <w:p w14:paraId="15C00C88" w14:textId="6E3C5A5C" w:rsidR="00AE5816" w:rsidRPr="00405115" w:rsidRDefault="00C22100" w:rsidP="005A2B0D">
      <w:pPr>
        <w:pStyle w:val="a0"/>
        <w:numPr>
          <w:ilvl w:val="1"/>
          <w:numId w:val="35"/>
        </w:numPr>
        <w:spacing w:after="0" w:line="240" w:lineRule="auto"/>
        <w:rPr>
          <w:lang w:val="en-US"/>
        </w:rPr>
      </w:pPr>
      <w:r w:rsidRPr="00405115">
        <w:rPr>
          <w:lang w:val="en-US"/>
        </w:rPr>
        <w:t>Project impact assessment organization and control</w:t>
      </w:r>
      <w:r w:rsidR="001A49E8" w:rsidRPr="00405115">
        <w:rPr>
          <w:lang w:val="en-US"/>
        </w:rPr>
        <w:t>:</w:t>
      </w:r>
    </w:p>
    <w:p w14:paraId="0A57E101" w14:textId="50C068CA" w:rsidR="005A2B0D" w:rsidRPr="00405115" w:rsidRDefault="00C22100" w:rsidP="003E2A64">
      <w:pPr>
        <w:pStyle w:val="a0"/>
        <w:numPr>
          <w:ilvl w:val="0"/>
          <w:numId w:val="36"/>
        </w:numPr>
        <w:spacing w:after="0" w:line="240" w:lineRule="auto"/>
        <w:ind w:left="0" w:firstLine="1058"/>
        <w:rPr>
          <w:lang w:val="en-US"/>
        </w:rPr>
      </w:pPr>
      <w:r w:rsidRPr="00405115">
        <w:rPr>
          <w:lang w:val="en-US"/>
        </w:rPr>
        <w:t xml:space="preserve">To define and prepare the list of </w:t>
      </w:r>
      <w:r w:rsidR="00363C88" w:rsidRPr="00405115">
        <w:rPr>
          <w:lang w:val="en-US"/>
        </w:rPr>
        <w:t xml:space="preserve">the IDBs’ </w:t>
      </w:r>
      <w:r w:rsidRPr="00405115">
        <w:rPr>
          <w:lang w:val="en-US"/>
        </w:rPr>
        <w:t xml:space="preserve">regulatory </w:t>
      </w:r>
      <w:r w:rsidR="00363C88" w:rsidRPr="00405115">
        <w:rPr>
          <w:lang w:val="en-US"/>
        </w:rPr>
        <w:t>documents</w:t>
      </w:r>
      <w:r w:rsidRPr="00405115">
        <w:rPr>
          <w:lang w:val="en-US"/>
        </w:rPr>
        <w:t xml:space="preserve">, which </w:t>
      </w:r>
      <w:r w:rsidR="007D57A2" w:rsidRPr="00405115">
        <w:rPr>
          <w:lang w:val="en-US"/>
        </w:rPr>
        <w:t>outline the procedure for</w:t>
      </w:r>
      <w:r w:rsidR="00363C88" w:rsidRPr="00405115">
        <w:rPr>
          <w:lang w:val="en-US"/>
        </w:rPr>
        <w:t xml:space="preserve"> assessing project’s impact on the development of the IDBs’ </w:t>
      </w:r>
      <w:r w:rsidR="00E04AAB" w:rsidRPr="00405115">
        <w:rPr>
          <w:lang w:val="en-US"/>
        </w:rPr>
        <w:t>member states</w:t>
      </w:r>
      <w:r w:rsidR="00363C88" w:rsidRPr="00405115">
        <w:rPr>
          <w:lang w:val="en-US"/>
        </w:rPr>
        <w:t xml:space="preserve"> economies;</w:t>
      </w:r>
    </w:p>
    <w:p w14:paraId="685F9005" w14:textId="36DB59D1" w:rsidR="005A2B0D" w:rsidRPr="00405115" w:rsidRDefault="00363C88" w:rsidP="003E2A64">
      <w:pPr>
        <w:pStyle w:val="a0"/>
        <w:numPr>
          <w:ilvl w:val="0"/>
          <w:numId w:val="36"/>
        </w:numPr>
        <w:spacing w:after="0" w:line="240" w:lineRule="auto"/>
        <w:ind w:left="0" w:firstLine="1080"/>
        <w:rPr>
          <w:lang w:val="en-US"/>
        </w:rPr>
      </w:pPr>
      <w:r w:rsidRPr="00405115">
        <w:rPr>
          <w:lang w:val="en-US"/>
        </w:rPr>
        <w:t xml:space="preserve">To collect the documents, which outline the procedure </w:t>
      </w:r>
      <w:r w:rsidR="007D57A2" w:rsidRPr="00405115">
        <w:rPr>
          <w:lang w:val="en-US"/>
        </w:rPr>
        <w:t>for</w:t>
      </w:r>
      <w:r w:rsidRPr="00405115">
        <w:rPr>
          <w:lang w:val="en-US"/>
        </w:rPr>
        <w:t xml:space="preserve"> assessing project’s impact on the development of the IDBs’ </w:t>
      </w:r>
      <w:r w:rsidR="00E04AAB" w:rsidRPr="00405115">
        <w:rPr>
          <w:lang w:val="en-US"/>
        </w:rPr>
        <w:t>member states</w:t>
      </w:r>
      <w:r w:rsidRPr="00405115">
        <w:rPr>
          <w:lang w:val="en-US"/>
        </w:rPr>
        <w:t xml:space="preserve">, in hard and electronic copies. The set of documents shall contain policies, evaluation designs/methodologies, framework programs and other documents regulating the assessment procedure, which shall be in force on the date of the provision of services by the Contractor. The Contractor shall </w:t>
      </w:r>
      <w:r w:rsidR="007D57A2" w:rsidRPr="00405115">
        <w:rPr>
          <w:lang w:val="en-US"/>
        </w:rPr>
        <w:t xml:space="preserve">evaluate the accessibility of the IDBs’ documents outlining the procedure for assessing project’s impact on the development of the economies of the IDBs’ </w:t>
      </w:r>
      <w:r w:rsidR="00E04AAB" w:rsidRPr="00405115">
        <w:rPr>
          <w:lang w:val="en-US"/>
        </w:rPr>
        <w:t>member states</w:t>
      </w:r>
      <w:r w:rsidR="007D57A2" w:rsidRPr="00405115">
        <w:rPr>
          <w:lang w:val="en-US"/>
        </w:rPr>
        <w:t>;</w:t>
      </w:r>
    </w:p>
    <w:p w14:paraId="3524F38C" w14:textId="7EEE5C49" w:rsidR="005A2B0D" w:rsidRPr="00405115" w:rsidRDefault="007D57A2" w:rsidP="003E2A64">
      <w:pPr>
        <w:pStyle w:val="a0"/>
        <w:numPr>
          <w:ilvl w:val="0"/>
          <w:numId w:val="36"/>
        </w:numPr>
        <w:spacing w:after="0" w:line="240" w:lineRule="auto"/>
        <w:ind w:left="0" w:firstLine="1080"/>
        <w:rPr>
          <w:lang w:val="en-US"/>
        </w:rPr>
      </w:pPr>
      <w:r w:rsidRPr="00405115">
        <w:rPr>
          <w:lang w:val="en-US"/>
        </w:rPr>
        <w:t>To analyze and describe the bodies and/or organization units and/or other executing entities that conduct project impact assessment (for instance, organization unit’s own assessment, independent organization unit’s assessment, independent external assessment, etc.);</w:t>
      </w:r>
    </w:p>
    <w:p w14:paraId="65A012A1" w14:textId="55224ED6" w:rsidR="005A2B0D" w:rsidRPr="00405115" w:rsidRDefault="007D57A2" w:rsidP="003E2A64">
      <w:pPr>
        <w:pStyle w:val="a0"/>
        <w:numPr>
          <w:ilvl w:val="0"/>
          <w:numId w:val="36"/>
        </w:numPr>
        <w:spacing w:after="0" w:line="240" w:lineRule="auto"/>
        <w:ind w:left="0" w:firstLine="1080"/>
        <w:rPr>
          <w:lang w:val="en-US"/>
        </w:rPr>
      </w:pPr>
      <w:r w:rsidRPr="00405115">
        <w:rPr>
          <w:lang w:val="en-US"/>
        </w:rPr>
        <w:t>To analyze and describe the process of interaction among the control bodies and/or organization units and/or other executing entities during impact assessment.</w:t>
      </w:r>
    </w:p>
    <w:p w14:paraId="22246CB1" w14:textId="299A0CB3" w:rsidR="005A2B0D" w:rsidRPr="00405115" w:rsidRDefault="00BF3441" w:rsidP="005A2B0D">
      <w:pPr>
        <w:pStyle w:val="a0"/>
        <w:numPr>
          <w:ilvl w:val="1"/>
          <w:numId w:val="35"/>
        </w:numPr>
        <w:spacing w:after="0" w:line="240" w:lineRule="auto"/>
        <w:rPr>
          <w:lang w:val="en-US"/>
        </w:rPr>
      </w:pPr>
      <w:r w:rsidRPr="00405115">
        <w:rPr>
          <w:lang w:val="en-US"/>
        </w:rPr>
        <w:t>Project impact assessment design/methodology</w:t>
      </w:r>
      <w:r w:rsidR="005A2B0D" w:rsidRPr="00405115">
        <w:rPr>
          <w:lang w:val="en-US"/>
        </w:rPr>
        <w:t>:</w:t>
      </w:r>
    </w:p>
    <w:p w14:paraId="61D01E84" w14:textId="1249731A" w:rsidR="00BF3441" w:rsidRPr="00405115" w:rsidRDefault="00BF3441" w:rsidP="003E2A64">
      <w:pPr>
        <w:pStyle w:val="a0"/>
        <w:numPr>
          <w:ilvl w:val="0"/>
          <w:numId w:val="37"/>
        </w:numPr>
        <w:spacing w:after="0" w:line="240" w:lineRule="auto"/>
        <w:ind w:left="0" w:firstLine="1134"/>
        <w:rPr>
          <w:lang w:val="en-US"/>
        </w:rPr>
      </w:pPr>
      <w:r w:rsidRPr="00405115">
        <w:rPr>
          <w:lang w:val="en-US"/>
        </w:rPr>
        <w:t>To analyze and describe the project impact assessment procedure, including the processes, frequency, specifics of the project impact assessment in different industries/countries.</w:t>
      </w:r>
    </w:p>
    <w:p w14:paraId="299E84C1" w14:textId="71A85AD5" w:rsidR="00067643" w:rsidRPr="00405115" w:rsidRDefault="00BF3441" w:rsidP="003E2A64">
      <w:pPr>
        <w:pStyle w:val="a0"/>
        <w:numPr>
          <w:ilvl w:val="0"/>
          <w:numId w:val="37"/>
        </w:numPr>
        <w:spacing w:after="0" w:line="240" w:lineRule="auto"/>
        <w:ind w:left="0" w:firstLine="1134"/>
        <w:rPr>
          <w:lang w:val="en-US"/>
        </w:rPr>
      </w:pPr>
      <w:r w:rsidRPr="00405115">
        <w:rPr>
          <w:lang w:val="en-US"/>
        </w:rPr>
        <w:t xml:space="preserve">To analyze and describe qualitative and quantitative assessment instruments (for instance, independent external or internal expert evaluation, econometric models, </w:t>
      </w:r>
      <w:r w:rsidRPr="00405115">
        <w:rPr>
          <w:lang w:val="en-US"/>
        </w:rPr>
        <w:lastRenderedPageBreak/>
        <w:t>such as diff-in-diff and others), as well as other methods, used to assess the impact on the economies</w:t>
      </w:r>
      <w:r w:rsidR="00D869DA" w:rsidRPr="00405115">
        <w:rPr>
          <w:lang w:val="en-US"/>
        </w:rPr>
        <w:t xml:space="preserve"> of the IDBs’ </w:t>
      </w:r>
      <w:r w:rsidR="00E04AAB" w:rsidRPr="00405115">
        <w:rPr>
          <w:lang w:val="en-US"/>
        </w:rPr>
        <w:t>member states</w:t>
      </w:r>
      <w:r w:rsidR="00D869DA" w:rsidRPr="00405115">
        <w:rPr>
          <w:lang w:val="en-US"/>
        </w:rPr>
        <w:t>, generated by the projects, financed by the IDBs</w:t>
      </w:r>
      <w:r w:rsidRPr="00405115">
        <w:rPr>
          <w:lang w:val="en-US"/>
        </w:rPr>
        <w:t>.</w:t>
      </w:r>
    </w:p>
    <w:p w14:paraId="5B6706C7" w14:textId="666756FB" w:rsidR="00D869DA" w:rsidRPr="00405115" w:rsidRDefault="00D869DA" w:rsidP="003E2A64">
      <w:pPr>
        <w:pStyle w:val="a0"/>
        <w:numPr>
          <w:ilvl w:val="0"/>
          <w:numId w:val="37"/>
        </w:numPr>
        <w:spacing w:after="0" w:line="240" w:lineRule="auto"/>
        <w:ind w:left="0" w:firstLine="1134"/>
        <w:rPr>
          <w:lang w:val="en-US"/>
        </w:rPr>
      </w:pPr>
      <w:r w:rsidRPr="00405115">
        <w:rPr>
          <w:lang w:val="en-US"/>
        </w:rPr>
        <w:t>To analyze and describe the metrics and/or the indicators and/or other characteristics, used for project impact assessment, the principles of their grouping, systematizing and clustering (by sectors, countries, activity areas and other criteria);</w:t>
      </w:r>
    </w:p>
    <w:p w14:paraId="668CB9A7" w14:textId="42BA9A42" w:rsidR="00D71F78" w:rsidRPr="00405115" w:rsidRDefault="00D869DA" w:rsidP="003E2A64">
      <w:pPr>
        <w:pStyle w:val="a0"/>
        <w:numPr>
          <w:ilvl w:val="0"/>
          <w:numId w:val="37"/>
        </w:numPr>
        <w:spacing w:after="0" w:line="240" w:lineRule="auto"/>
        <w:ind w:left="0" w:firstLine="1134"/>
        <w:rPr>
          <w:lang w:val="en-US"/>
        </w:rPr>
      </w:pPr>
      <w:r w:rsidRPr="00405115">
        <w:rPr>
          <w:lang w:val="en-US"/>
        </w:rPr>
        <w:t xml:space="preserve">To conduct a comparative analysis of the metrics and/or the indicators and/or other characteristics, used for project impact assessment by different IDBs. </w:t>
      </w:r>
    </w:p>
    <w:p w14:paraId="6A114703" w14:textId="14B454FE" w:rsidR="00D869DA" w:rsidRPr="00405115" w:rsidRDefault="00D869DA" w:rsidP="00D869DA">
      <w:pPr>
        <w:pStyle w:val="a0"/>
        <w:numPr>
          <w:ilvl w:val="0"/>
          <w:numId w:val="35"/>
        </w:numPr>
        <w:tabs>
          <w:tab w:val="left" w:pos="1134"/>
        </w:tabs>
        <w:spacing w:after="0" w:line="240" w:lineRule="auto"/>
        <w:ind w:left="0" w:firstLine="709"/>
        <w:rPr>
          <w:lang w:val="en-US"/>
        </w:rPr>
      </w:pPr>
      <w:r w:rsidRPr="00405115">
        <w:rPr>
          <w:lang w:val="en-US"/>
        </w:rPr>
        <w:t xml:space="preserve">To prepare </w:t>
      </w:r>
      <w:r w:rsidR="004559E1" w:rsidRPr="00405115">
        <w:rPr>
          <w:lang w:val="en-US"/>
        </w:rPr>
        <w:t>a list of conclusions</w:t>
      </w:r>
      <w:r w:rsidRPr="00405115">
        <w:rPr>
          <w:lang w:val="en-US"/>
        </w:rPr>
        <w:t xml:space="preserve"> </w:t>
      </w:r>
      <w:r w:rsidR="004559E1" w:rsidRPr="00405115">
        <w:rPr>
          <w:lang w:val="en-US"/>
        </w:rPr>
        <w:t>based on the</w:t>
      </w:r>
      <w:r w:rsidRPr="00405115">
        <w:rPr>
          <w:lang w:val="en-US"/>
        </w:rPr>
        <w:t xml:space="preserve"> comprehensive analysis of the best practices </w:t>
      </w:r>
      <w:r w:rsidR="004559E1" w:rsidRPr="00405115">
        <w:rPr>
          <w:lang w:val="en-US"/>
        </w:rPr>
        <w:t xml:space="preserve">for </w:t>
      </w:r>
      <w:r w:rsidRPr="00405115">
        <w:rPr>
          <w:lang w:val="en-US"/>
        </w:rPr>
        <w:t xml:space="preserve">each of the IDBs, as well as </w:t>
      </w:r>
      <w:r w:rsidR="004559E1" w:rsidRPr="00405115">
        <w:rPr>
          <w:lang w:val="en-US"/>
        </w:rPr>
        <w:t xml:space="preserve">a list of </w:t>
      </w:r>
      <w:r w:rsidRPr="00405115">
        <w:rPr>
          <w:lang w:val="en-US"/>
        </w:rPr>
        <w:t xml:space="preserve">summarizing </w:t>
      </w:r>
      <w:r w:rsidR="004559E1" w:rsidRPr="00405115">
        <w:rPr>
          <w:lang w:val="en-US"/>
        </w:rPr>
        <w:t>conclusions on the most widespread</w:t>
      </w:r>
      <w:r w:rsidRPr="00405115">
        <w:rPr>
          <w:lang w:val="en-US"/>
        </w:rPr>
        <w:t xml:space="preserve"> and effective approaches to </w:t>
      </w:r>
      <w:r w:rsidR="004559E1" w:rsidRPr="00405115">
        <w:rPr>
          <w:lang w:val="en-US"/>
        </w:rPr>
        <w:t>impact assessment of an IDB-financed project.</w:t>
      </w:r>
    </w:p>
    <w:p w14:paraId="38FCE838" w14:textId="7DF00B32" w:rsidR="004559E1" w:rsidRPr="00405115" w:rsidRDefault="004559E1" w:rsidP="004559E1">
      <w:pPr>
        <w:pStyle w:val="a0"/>
        <w:spacing w:after="0" w:line="240" w:lineRule="auto"/>
        <w:ind w:left="0" w:firstLine="720"/>
        <w:rPr>
          <w:lang w:val="en-US"/>
        </w:rPr>
      </w:pPr>
      <w:r w:rsidRPr="00405115">
        <w:rPr>
          <w:lang w:val="en-US"/>
        </w:rPr>
        <w:t>Upon the provision of services, envisaged within Stage 1, the Contractor shall prepare, finalize and submit to the EDB the following report documents:</w:t>
      </w:r>
    </w:p>
    <w:p w14:paraId="7B9E8FCD" w14:textId="57DA1B21" w:rsidR="00135097" w:rsidRPr="00405115" w:rsidRDefault="004559E1" w:rsidP="003E2A64">
      <w:pPr>
        <w:pStyle w:val="a0"/>
        <w:numPr>
          <w:ilvl w:val="0"/>
          <w:numId w:val="38"/>
        </w:numPr>
        <w:spacing w:after="0" w:line="240" w:lineRule="auto"/>
        <w:ind w:left="0" w:firstLine="1164"/>
        <w:rPr>
          <w:lang w:val="en-US"/>
        </w:rPr>
      </w:pPr>
      <w:r w:rsidRPr="00405115">
        <w:rPr>
          <w:lang w:val="en-US"/>
        </w:rPr>
        <w:t>A report on the IDBs' best practices in the field of project impact assessment, containing the information, required by paragraphs 1-2 of the present section, for each of the IDBs;</w:t>
      </w:r>
    </w:p>
    <w:p w14:paraId="42A4C1E7" w14:textId="09232D34" w:rsidR="004559E1" w:rsidRPr="00405115" w:rsidRDefault="004559E1" w:rsidP="003E2A64">
      <w:pPr>
        <w:pStyle w:val="a0"/>
        <w:numPr>
          <w:ilvl w:val="0"/>
          <w:numId w:val="38"/>
        </w:numPr>
        <w:spacing w:after="0" w:line="240" w:lineRule="auto"/>
        <w:ind w:left="0" w:firstLine="1164"/>
        <w:rPr>
          <w:lang w:val="en-US"/>
        </w:rPr>
      </w:pPr>
      <w:r w:rsidRPr="00405115">
        <w:rPr>
          <w:lang w:val="en-US"/>
        </w:rPr>
        <w:t>Source documents and data, used during the preparation of the Report on the IDBs’ best practices in the field of project impact assessment, including the IDBs’ documents in hard and electronic copies (policies, evaluation designs/</w:t>
      </w:r>
      <w:r w:rsidR="003E60C0" w:rsidRPr="00405115">
        <w:rPr>
          <w:lang w:val="en-US"/>
        </w:rPr>
        <w:t>methodologies, framework programs</w:t>
      </w:r>
      <w:r w:rsidRPr="00405115">
        <w:rPr>
          <w:lang w:val="en-US"/>
        </w:rPr>
        <w:t xml:space="preserve">, and other documents </w:t>
      </w:r>
      <w:r w:rsidR="003E60C0" w:rsidRPr="00405115">
        <w:rPr>
          <w:lang w:val="en-US"/>
        </w:rPr>
        <w:t>regulating the project impact assessment</w:t>
      </w:r>
      <w:r w:rsidRPr="00405115">
        <w:rPr>
          <w:lang w:val="en-US"/>
        </w:rPr>
        <w:t xml:space="preserve"> proc</w:t>
      </w:r>
      <w:r w:rsidR="003E60C0" w:rsidRPr="00405115">
        <w:rPr>
          <w:lang w:val="en-US"/>
        </w:rPr>
        <w:t>ess), analytical materials</w:t>
      </w:r>
      <w:r w:rsidRPr="00405115">
        <w:rPr>
          <w:lang w:val="en-US"/>
        </w:rPr>
        <w:t xml:space="preserve">, </w:t>
      </w:r>
      <w:r w:rsidR="003E60C0" w:rsidRPr="00405115">
        <w:rPr>
          <w:lang w:val="en-US"/>
        </w:rPr>
        <w:t>accounts</w:t>
      </w:r>
      <w:r w:rsidRPr="00405115">
        <w:rPr>
          <w:lang w:val="en-US"/>
        </w:rPr>
        <w:t>,</w:t>
      </w:r>
      <w:r w:rsidR="003E60C0" w:rsidRPr="00405115">
        <w:rPr>
          <w:lang w:val="en-US"/>
        </w:rPr>
        <w:t xml:space="preserve"> reports,</w:t>
      </w:r>
      <w:r w:rsidRPr="00405115">
        <w:rPr>
          <w:lang w:val="en-US"/>
        </w:rPr>
        <w:t xml:space="preserve"> publications, and a general list of</w:t>
      </w:r>
      <w:r w:rsidR="003E60C0" w:rsidRPr="00405115">
        <w:rPr>
          <w:lang w:val="en-US"/>
        </w:rPr>
        <w:t xml:space="preserve"> all documents and data used in </w:t>
      </w:r>
      <w:r w:rsidRPr="00405115">
        <w:rPr>
          <w:lang w:val="en-US"/>
        </w:rPr>
        <w:t>.xlsx table format with a link to</w:t>
      </w:r>
      <w:r w:rsidR="003E60C0" w:rsidRPr="00405115">
        <w:rPr>
          <w:lang w:val="en-US"/>
        </w:rPr>
        <w:t xml:space="preserve"> the</w:t>
      </w:r>
      <w:r w:rsidRPr="00405115">
        <w:rPr>
          <w:lang w:val="en-US"/>
        </w:rPr>
        <w:t xml:space="preserve"> primary sources used </w:t>
      </w:r>
      <w:r w:rsidR="003E60C0" w:rsidRPr="00405115">
        <w:rPr>
          <w:lang w:val="en-US"/>
        </w:rPr>
        <w:t>in</w:t>
      </w:r>
      <w:r w:rsidRPr="00405115">
        <w:rPr>
          <w:lang w:val="en-US"/>
        </w:rPr>
        <w:t xml:space="preserve"> the report.</w:t>
      </w:r>
    </w:p>
    <w:p w14:paraId="7569EC23" w14:textId="1D3B8B96" w:rsidR="009D625B" w:rsidRPr="00405115" w:rsidRDefault="009D625B" w:rsidP="000738A4">
      <w:pPr>
        <w:pStyle w:val="a0"/>
        <w:spacing w:after="0" w:line="240" w:lineRule="auto"/>
        <w:ind w:left="709" w:firstLine="0"/>
        <w:rPr>
          <w:lang w:val="en-US"/>
        </w:rPr>
      </w:pPr>
    </w:p>
    <w:p w14:paraId="256FD404" w14:textId="14763668" w:rsidR="00B42F52" w:rsidRPr="00B42F52" w:rsidRDefault="007443A7" w:rsidP="00B42F52">
      <w:pPr>
        <w:pStyle w:val="2"/>
        <w:numPr>
          <w:ilvl w:val="0"/>
          <w:numId w:val="0"/>
        </w:numPr>
        <w:spacing w:before="0" w:after="0" w:line="240" w:lineRule="auto"/>
        <w:ind w:left="709"/>
        <w:rPr>
          <w:sz w:val="22"/>
          <w:szCs w:val="22"/>
          <w:u w:val="single"/>
          <w:lang w:val="en-US"/>
        </w:rPr>
      </w:pPr>
      <w:r w:rsidRPr="00405115">
        <w:rPr>
          <w:sz w:val="22"/>
          <w:szCs w:val="22"/>
          <w:u w:val="single"/>
          <w:lang w:val="en-US"/>
        </w:rPr>
        <w:t xml:space="preserve">Stage 2. </w:t>
      </w:r>
      <w:r w:rsidR="00B42F52" w:rsidRPr="00405115">
        <w:rPr>
          <w:sz w:val="22"/>
          <w:szCs w:val="22"/>
          <w:u w:val="single"/>
          <w:lang w:val="en-US"/>
        </w:rPr>
        <w:t>Overview of the global trends and prospective development dimensions of impact assessment</w:t>
      </w:r>
      <w:r w:rsidR="00E04AAB" w:rsidRPr="00405115">
        <w:rPr>
          <w:sz w:val="22"/>
          <w:szCs w:val="22"/>
          <w:u w:val="single"/>
          <w:lang w:val="en-US"/>
        </w:rPr>
        <w:t xml:space="preserve"> </w:t>
      </w:r>
    </w:p>
    <w:p w14:paraId="27CC0E29" w14:textId="6519AF88" w:rsidR="00B42F52" w:rsidRPr="00405115" w:rsidRDefault="00B42F52" w:rsidP="00B42F52">
      <w:pPr>
        <w:spacing w:after="0" w:line="240" w:lineRule="auto"/>
        <w:rPr>
          <w:lang w:val="en-US"/>
        </w:rPr>
      </w:pPr>
      <w:r>
        <w:rPr>
          <w:lang w:val="en-US"/>
        </w:rPr>
        <w:t>The main goal of Stage 2</w:t>
      </w:r>
      <w:r w:rsidRPr="00405115">
        <w:rPr>
          <w:lang w:val="en-US"/>
        </w:rPr>
        <w:t xml:space="preserve"> consists in providing the EDB with a report on the global trends and prospective dimensions of development of approaches to assessing development impact, generated by the IDB-financed projects. </w:t>
      </w:r>
      <w:r>
        <w:rPr>
          <w:lang w:val="en-US"/>
        </w:rPr>
        <w:t xml:space="preserve">These global trends and prospective approached shall be later applied to improving the EDB-financed projects’ impact assessment system (if possible).  </w:t>
      </w:r>
    </w:p>
    <w:p w14:paraId="5A48073F" w14:textId="77777777" w:rsidR="00B42F52" w:rsidRPr="00405115" w:rsidRDefault="00B42F52" w:rsidP="00B42F52">
      <w:pPr>
        <w:spacing w:after="0" w:line="240" w:lineRule="auto"/>
        <w:rPr>
          <w:lang w:val="en-US"/>
        </w:rPr>
      </w:pPr>
      <w:r>
        <w:rPr>
          <w:lang w:val="en-US"/>
        </w:rPr>
        <w:t>Within the frames of Stage 2</w:t>
      </w:r>
      <w:r w:rsidRPr="00405115">
        <w:rPr>
          <w:lang w:val="en-US"/>
        </w:rPr>
        <w:t>, the Contractor shall provide the following services:</w:t>
      </w:r>
    </w:p>
    <w:p w14:paraId="184AD940" w14:textId="77777777" w:rsidR="00B42F52" w:rsidRPr="00405115" w:rsidRDefault="00B42F52" w:rsidP="00B42F52">
      <w:pPr>
        <w:pStyle w:val="a0"/>
        <w:numPr>
          <w:ilvl w:val="0"/>
          <w:numId w:val="43"/>
        </w:numPr>
        <w:spacing w:after="0" w:line="240" w:lineRule="auto"/>
        <w:ind w:left="0" w:firstLine="709"/>
        <w:rPr>
          <w:lang w:val="en-US"/>
        </w:rPr>
      </w:pPr>
      <w:r w:rsidRPr="00405115">
        <w:rPr>
          <w:lang w:val="en-US"/>
        </w:rPr>
        <w:t>To analyze and describe the global trends and prospective dimensions of development of approaches to assessing development impact of the projects, including those financed by other IDBs. As source data, the Contractor may use the research materials, accounts, reports and other documents of the IDBs and other organizations;</w:t>
      </w:r>
    </w:p>
    <w:p w14:paraId="0A7D2C2B" w14:textId="77777777" w:rsidR="00B42F52" w:rsidRPr="00405115" w:rsidRDefault="00B42F52" w:rsidP="00B42F52">
      <w:pPr>
        <w:pStyle w:val="a0"/>
        <w:numPr>
          <w:ilvl w:val="0"/>
          <w:numId w:val="43"/>
        </w:numPr>
        <w:spacing w:after="0" w:line="240" w:lineRule="auto"/>
        <w:ind w:left="0" w:firstLine="709"/>
        <w:rPr>
          <w:lang w:val="en-US"/>
        </w:rPr>
      </w:pPr>
      <w:r w:rsidRPr="00405115">
        <w:rPr>
          <w:lang w:val="en-US"/>
        </w:rPr>
        <w:t xml:space="preserve">To prepare a report, finalizing the analysis, in accordance with paragraph 1, with the identified trends and prospective development dimensions of impact assessment being taken into account.  </w:t>
      </w:r>
    </w:p>
    <w:p w14:paraId="7F141EC5" w14:textId="77777777" w:rsidR="00B42F52" w:rsidRPr="00405115" w:rsidRDefault="00B42F52" w:rsidP="00B42F52">
      <w:pPr>
        <w:pStyle w:val="a0"/>
        <w:spacing w:after="0" w:line="240" w:lineRule="auto"/>
        <w:ind w:left="0"/>
        <w:rPr>
          <w:lang w:val="en-US"/>
        </w:rPr>
      </w:pPr>
      <w:r w:rsidRPr="00405115">
        <w:rPr>
          <w:lang w:val="en-US"/>
        </w:rPr>
        <w:t>Upon the provision of se</w:t>
      </w:r>
      <w:r>
        <w:rPr>
          <w:lang w:val="en-US"/>
        </w:rPr>
        <w:t>rvices, envisaged within Stage 2</w:t>
      </w:r>
      <w:r w:rsidRPr="00405115">
        <w:rPr>
          <w:lang w:val="en-US"/>
        </w:rPr>
        <w:t xml:space="preserve">, the Contractor shall prepare, finalize and submit to the EDB the following report documents: </w:t>
      </w:r>
    </w:p>
    <w:p w14:paraId="3EC9B401" w14:textId="68EA9B01" w:rsidR="007E2D4C" w:rsidRDefault="00B42F52" w:rsidP="00B42F52">
      <w:pPr>
        <w:pStyle w:val="a0"/>
        <w:numPr>
          <w:ilvl w:val="0"/>
          <w:numId w:val="40"/>
        </w:numPr>
        <w:spacing w:after="0" w:line="240" w:lineRule="auto"/>
        <w:ind w:left="0" w:firstLine="1353"/>
        <w:rPr>
          <w:lang w:val="en-US"/>
        </w:rPr>
      </w:pPr>
      <w:r w:rsidRPr="00405115">
        <w:rPr>
          <w:lang w:val="en-US"/>
        </w:rPr>
        <w:t>The Report on the global trends and prospective dimensions of development of approaches to assessing development impact of the IDBs’ investment projects.</w:t>
      </w:r>
    </w:p>
    <w:p w14:paraId="0B495786" w14:textId="77777777" w:rsidR="00B42F52" w:rsidRPr="00B42F52" w:rsidRDefault="00B42F52" w:rsidP="00B42F52">
      <w:pPr>
        <w:pStyle w:val="a0"/>
        <w:numPr>
          <w:ilvl w:val="0"/>
          <w:numId w:val="40"/>
        </w:numPr>
        <w:spacing w:after="0" w:line="240" w:lineRule="auto"/>
        <w:ind w:left="0" w:firstLine="1353"/>
        <w:rPr>
          <w:lang w:val="en-US"/>
        </w:rPr>
      </w:pPr>
    </w:p>
    <w:p w14:paraId="1A254978" w14:textId="0828DCEC" w:rsidR="007E2D4C" w:rsidRPr="00405115" w:rsidRDefault="007443A7" w:rsidP="007443A7">
      <w:pPr>
        <w:pStyle w:val="2"/>
        <w:numPr>
          <w:ilvl w:val="0"/>
          <w:numId w:val="0"/>
        </w:numPr>
        <w:spacing w:before="0" w:after="0" w:line="240" w:lineRule="auto"/>
        <w:ind w:left="709"/>
        <w:rPr>
          <w:u w:val="single"/>
          <w:lang w:val="en-US"/>
        </w:rPr>
      </w:pPr>
      <w:r w:rsidRPr="00405115">
        <w:rPr>
          <w:sz w:val="22"/>
          <w:szCs w:val="22"/>
          <w:u w:val="single"/>
          <w:lang w:val="en-US"/>
        </w:rPr>
        <w:t xml:space="preserve">Stage 3. </w:t>
      </w:r>
      <w:r w:rsidR="00B42F52">
        <w:rPr>
          <w:sz w:val="22"/>
          <w:szCs w:val="22"/>
          <w:u w:val="single"/>
          <w:lang w:val="en-US"/>
        </w:rPr>
        <w:t>Development of methodological recommendations and a</w:t>
      </w:r>
      <w:r w:rsidR="00B42F52" w:rsidRPr="00405115">
        <w:rPr>
          <w:sz w:val="22"/>
          <w:szCs w:val="22"/>
          <w:u w:val="single"/>
          <w:lang w:val="en-US"/>
        </w:rPr>
        <w:t>ssessment of the EDB projects’ impact on the economies of the Bank’s member states</w:t>
      </w:r>
    </w:p>
    <w:p w14:paraId="4469EB72" w14:textId="484A741D" w:rsidR="00B42F52" w:rsidRPr="00405115" w:rsidRDefault="00B42F52" w:rsidP="00B42F52">
      <w:pPr>
        <w:pStyle w:val="a0"/>
        <w:spacing w:after="0" w:line="240" w:lineRule="auto"/>
        <w:ind w:left="0"/>
        <w:rPr>
          <w:lang w:val="en-US"/>
        </w:rPr>
      </w:pPr>
      <w:r>
        <w:rPr>
          <w:lang w:val="en-US"/>
        </w:rPr>
        <w:t>The main goal of Stage 3</w:t>
      </w:r>
      <w:r w:rsidRPr="00405115">
        <w:rPr>
          <w:lang w:val="en-US"/>
        </w:rPr>
        <w:t xml:space="preserve"> consists in providing the EDB with the methodological recommendations and the results of assessing development impact on the economies of the Bank’s member states for 3 (three) investment projects, financed by the EDB. </w:t>
      </w:r>
    </w:p>
    <w:p w14:paraId="2E7A59F1" w14:textId="09761C04" w:rsidR="00B42F52" w:rsidRPr="00405115" w:rsidRDefault="00B42F52" w:rsidP="00B42F52">
      <w:pPr>
        <w:spacing w:after="0" w:line="240" w:lineRule="auto"/>
        <w:rPr>
          <w:lang w:val="en-US"/>
        </w:rPr>
      </w:pPr>
      <w:r>
        <w:rPr>
          <w:lang w:val="en-US"/>
        </w:rPr>
        <w:t>Within the frames of Stage 3</w:t>
      </w:r>
      <w:r w:rsidRPr="00405115">
        <w:rPr>
          <w:lang w:val="en-US"/>
        </w:rPr>
        <w:t>, the Contractor shall provide the following services:</w:t>
      </w:r>
    </w:p>
    <w:p w14:paraId="26D9511D" w14:textId="77777777" w:rsidR="00B42F52" w:rsidRPr="00405115" w:rsidRDefault="00B42F52" w:rsidP="00B42F52">
      <w:pPr>
        <w:pStyle w:val="a0"/>
        <w:numPr>
          <w:ilvl w:val="0"/>
          <w:numId w:val="39"/>
        </w:numPr>
        <w:tabs>
          <w:tab w:val="left" w:pos="1134"/>
        </w:tabs>
        <w:spacing w:after="0" w:line="240" w:lineRule="auto"/>
        <w:ind w:left="0" w:firstLine="709"/>
        <w:rPr>
          <w:lang w:val="en-US"/>
        </w:rPr>
      </w:pPr>
      <w:r w:rsidRPr="00405115">
        <w:rPr>
          <w:lang w:val="en-US"/>
        </w:rPr>
        <w:lastRenderedPageBreak/>
        <w:t>The analysis of the EDB investment portfolio, including:</w:t>
      </w:r>
    </w:p>
    <w:p w14:paraId="7A0981D9" w14:textId="77777777" w:rsidR="00B42F52" w:rsidRPr="00405115" w:rsidRDefault="00B42F52" w:rsidP="00B42F52">
      <w:pPr>
        <w:pStyle w:val="a0"/>
        <w:numPr>
          <w:ilvl w:val="1"/>
          <w:numId w:val="39"/>
        </w:numPr>
        <w:tabs>
          <w:tab w:val="left" w:pos="1134"/>
        </w:tabs>
        <w:spacing w:after="0" w:line="240" w:lineRule="auto"/>
        <w:ind w:left="0" w:firstLine="1134"/>
        <w:rPr>
          <w:lang w:val="en-US"/>
        </w:rPr>
      </w:pPr>
      <w:r w:rsidRPr="00405115">
        <w:rPr>
          <w:lang w:val="en-US"/>
        </w:rPr>
        <w:t>To analyze the EDB investment project portfolio and select at least 10 (ten) investment projects to subsequently assess their impact on the economies of the EDB’s member states. When selecting investment projects, the Contractor may consider, without limitations, the significance of the results of the selected investment projects for the economies of the EDB member states, the incidence of similar investment projects (by sector and/or country) in the EDB investment portfolio, and the best practices and experience of other IDBs in selecting investment projects for the purpose of assessing their impact on the economies of the IDBs’ member states. For the purpose of subsequent approval of particular investment projects subject to assessment, the Contractor shall provide the EDB with the explanations on the principles, approaches, and reasoning used for selecting the investment projects;</w:t>
      </w:r>
    </w:p>
    <w:p w14:paraId="59C76A80" w14:textId="77777777" w:rsidR="00B42F52" w:rsidRPr="00405115" w:rsidRDefault="00B42F52" w:rsidP="00B42F52">
      <w:pPr>
        <w:pStyle w:val="a0"/>
        <w:numPr>
          <w:ilvl w:val="1"/>
          <w:numId w:val="39"/>
        </w:numPr>
        <w:tabs>
          <w:tab w:val="left" w:pos="1134"/>
        </w:tabs>
        <w:spacing w:after="0" w:line="240" w:lineRule="auto"/>
        <w:ind w:left="0" w:firstLine="1069"/>
        <w:rPr>
          <w:lang w:val="en-US"/>
        </w:rPr>
      </w:pPr>
      <w:r w:rsidRPr="00405115">
        <w:rPr>
          <w:lang w:val="en-US"/>
        </w:rPr>
        <w:t>To select, in coordination with the Bank, 3 (three) investment projects, financed by the EDB, for further assessment of their impact on the economies of the Bank's member states, with the final decision on approval of the 3 (three) investment projects for further impact assessment being made solely by the EDB.</w:t>
      </w:r>
    </w:p>
    <w:p w14:paraId="524D9654" w14:textId="77777777" w:rsidR="00B42F52" w:rsidRPr="00405115" w:rsidRDefault="00B42F52" w:rsidP="00B42F52">
      <w:pPr>
        <w:pStyle w:val="a0"/>
        <w:numPr>
          <w:ilvl w:val="0"/>
          <w:numId w:val="39"/>
        </w:numPr>
        <w:tabs>
          <w:tab w:val="left" w:pos="1134"/>
        </w:tabs>
        <w:spacing w:after="0" w:line="240" w:lineRule="auto"/>
        <w:ind w:left="0" w:firstLine="709"/>
        <w:rPr>
          <w:lang w:val="en-US"/>
        </w:rPr>
      </w:pPr>
      <w:r w:rsidRPr="00405115">
        <w:rPr>
          <w:lang w:val="en-US"/>
        </w:rPr>
        <w:t xml:space="preserve">Development of the methodological recommendations for assessing impact on the economies of the EDB member states, generated by the investment projects of the Bank:  </w:t>
      </w:r>
    </w:p>
    <w:p w14:paraId="058CE897" w14:textId="01A7505C" w:rsidR="00B42F52" w:rsidRPr="00405115" w:rsidRDefault="00B42F52" w:rsidP="00B42F52">
      <w:pPr>
        <w:pStyle w:val="a0"/>
        <w:numPr>
          <w:ilvl w:val="1"/>
          <w:numId w:val="39"/>
        </w:numPr>
        <w:tabs>
          <w:tab w:val="left" w:pos="1134"/>
        </w:tabs>
        <w:spacing w:after="0" w:line="240" w:lineRule="auto"/>
        <w:ind w:left="0" w:firstLine="1069"/>
        <w:rPr>
          <w:lang w:val="en-US"/>
        </w:rPr>
      </w:pPr>
      <w:r w:rsidRPr="00405115">
        <w:rPr>
          <w:lang w:val="en-US"/>
        </w:rPr>
        <w:t>To conduct a comparative analysis of the applicability of the IDBs' best practices,</w:t>
      </w:r>
      <w:r>
        <w:rPr>
          <w:lang w:val="en-US"/>
        </w:rPr>
        <w:t xml:space="preserve"> global trends and prospective approaches,</w:t>
      </w:r>
      <w:r w:rsidRPr="00405115">
        <w:rPr>
          <w:lang w:val="en-US"/>
        </w:rPr>
        <w:t xml:space="preserve"> identified during Stage 1</w:t>
      </w:r>
      <w:r>
        <w:rPr>
          <w:lang w:val="en-US"/>
        </w:rPr>
        <w:t xml:space="preserve"> and 2 respectively</w:t>
      </w:r>
      <w:r w:rsidRPr="00405115">
        <w:rPr>
          <w:lang w:val="en-US"/>
        </w:rPr>
        <w:t xml:space="preserve">, to assessing the impact of the </w:t>
      </w:r>
      <w:r>
        <w:rPr>
          <w:lang w:val="en-US"/>
        </w:rPr>
        <w:t>3 (three)</w:t>
      </w:r>
      <w:r w:rsidRPr="00405115">
        <w:rPr>
          <w:lang w:val="en-US"/>
        </w:rPr>
        <w:t xml:space="preserve"> investment projects, approved by the EDB</w:t>
      </w:r>
      <w:r>
        <w:rPr>
          <w:lang w:val="en-US"/>
        </w:rPr>
        <w:t>.</w:t>
      </w:r>
    </w:p>
    <w:p w14:paraId="09C394B1" w14:textId="15AE1CF5" w:rsidR="00B42F52" w:rsidRPr="00405115" w:rsidRDefault="00B42F52" w:rsidP="00B42F52">
      <w:pPr>
        <w:pStyle w:val="a0"/>
        <w:numPr>
          <w:ilvl w:val="1"/>
          <w:numId w:val="39"/>
        </w:numPr>
        <w:tabs>
          <w:tab w:val="left" w:pos="1134"/>
        </w:tabs>
        <w:spacing w:after="0" w:line="240" w:lineRule="auto"/>
        <w:ind w:left="0" w:firstLine="1069"/>
        <w:rPr>
          <w:lang w:val="en-US"/>
        </w:rPr>
      </w:pPr>
      <w:r w:rsidRPr="00405115">
        <w:rPr>
          <w:lang w:val="en-US"/>
        </w:rPr>
        <w:t xml:space="preserve">To prepare the methodological recommendations, based on the comparative analysis, for assessing the impact on the economies of the EDB member states for each of the </w:t>
      </w:r>
      <w:r>
        <w:rPr>
          <w:lang w:val="en-US"/>
        </w:rPr>
        <w:t>3 (three</w:t>
      </w:r>
      <w:r w:rsidRPr="00405115">
        <w:rPr>
          <w:lang w:val="en-US"/>
        </w:rPr>
        <w:t xml:space="preserve">) investment projects, financed by the Bank. Within the preparation of these methodological recommendations, the Contractor shall formulate at least two hypotheses to test their significance, as well as provide a comparative analysis of quantitative and qualitative assessment instruments to test the formulated hypotheses.  </w:t>
      </w:r>
    </w:p>
    <w:p w14:paraId="2F2C07BE" w14:textId="77777777" w:rsidR="00B42F52" w:rsidRPr="00405115" w:rsidRDefault="00B42F52" w:rsidP="00B42F52">
      <w:pPr>
        <w:pStyle w:val="a0"/>
        <w:numPr>
          <w:ilvl w:val="0"/>
          <w:numId w:val="39"/>
        </w:numPr>
        <w:tabs>
          <w:tab w:val="left" w:pos="1134"/>
        </w:tabs>
        <w:spacing w:after="0" w:line="240" w:lineRule="auto"/>
        <w:ind w:left="0" w:firstLine="709"/>
        <w:rPr>
          <w:lang w:val="en-US"/>
        </w:rPr>
      </w:pPr>
      <w:r w:rsidRPr="00405115">
        <w:rPr>
          <w:lang w:val="en-US"/>
        </w:rPr>
        <w:t>The EDB investment projects impact assessment, including:</w:t>
      </w:r>
    </w:p>
    <w:p w14:paraId="4731DBC4" w14:textId="77777777" w:rsidR="00B42F52" w:rsidRPr="00405115" w:rsidRDefault="00B42F52" w:rsidP="00B42F52">
      <w:pPr>
        <w:pStyle w:val="a0"/>
        <w:numPr>
          <w:ilvl w:val="1"/>
          <w:numId w:val="39"/>
        </w:numPr>
        <w:tabs>
          <w:tab w:val="left" w:pos="1134"/>
        </w:tabs>
        <w:spacing w:after="0" w:line="240" w:lineRule="auto"/>
        <w:ind w:left="0" w:firstLine="1069"/>
        <w:rPr>
          <w:lang w:val="en-US"/>
        </w:rPr>
      </w:pPr>
      <w:r w:rsidRPr="00405115">
        <w:rPr>
          <w:lang w:val="en-US"/>
        </w:rPr>
        <w:t xml:space="preserve">Assess the impact on the economies of the Bank's member states for each of the 3 (three) investment projects, financed by the Bank, in accordance with the developed methodological recommendations. The Contractor may use special software with subsequent provision of source files for the purpose of impact assessment. As part of the assessment, the Contractor shall test the hypotheses formulated earlier. </w:t>
      </w:r>
    </w:p>
    <w:p w14:paraId="5EC8BC94" w14:textId="77777777" w:rsidR="00B42F52" w:rsidRPr="00405115" w:rsidRDefault="00B42F52" w:rsidP="00B42F52">
      <w:pPr>
        <w:pStyle w:val="a0"/>
        <w:numPr>
          <w:ilvl w:val="1"/>
          <w:numId w:val="39"/>
        </w:numPr>
        <w:tabs>
          <w:tab w:val="left" w:pos="1134"/>
        </w:tabs>
        <w:spacing w:after="0" w:line="240" w:lineRule="auto"/>
        <w:ind w:left="0" w:firstLine="1134"/>
        <w:rPr>
          <w:lang w:val="en-US"/>
        </w:rPr>
      </w:pPr>
      <w:r w:rsidRPr="00405115">
        <w:rPr>
          <w:lang w:val="en-US"/>
        </w:rPr>
        <w:t xml:space="preserve">To prepare a report on the impact of the EDB project on the economies of the Bank’s member states (for each of the three projects, approved by the EDB). The report shall contain the definition and reasoning for the applied methodological recommendations, determination of the socio-economic base for the project’s area of influence, project impact assessment based on the selected metrics and/or indicators and/or other characteristics, eligible for use in assessment, as well as the description of the major allowances.  </w:t>
      </w:r>
    </w:p>
    <w:p w14:paraId="55F75374" w14:textId="77777777" w:rsidR="00B42F52" w:rsidRPr="00405115" w:rsidRDefault="00B42F52" w:rsidP="00B42F52">
      <w:pPr>
        <w:pStyle w:val="a0"/>
        <w:numPr>
          <w:ilvl w:val="0"/>
          <w:numId w:val="39"/>
        </w:numPr>
        <w:tabs>
          <w:tab w:val="left" w:pos="1134"/>
        </w:tabs>
        <w:spacing w:after="0" w:line="240" w:lineRule="auto"/>
        <w:ind w:left="0" w:firstLine="709"/>
        <w:rPr>
          <w:lang w:val="en-US"/>
        </w:rPr>
      </w:pPr>
      <w:r w:rsidRPr="00405115">
        <w:rPr>
          <w:lang w:val="en-US"/>
        </w:rPr>
        <w:t>Evaluation of the possibility to scale up the methodological recommendations for assessing assessment other EDB projects’ impact, including:</w:t>
      </w:r>
    </w:p>
    <w:p w14:paraId="0C49733E" w14:textId="77777777" w:rsidR="00B42F52" w:rsidRPr="00405115" w:rsidRDefault="00B42F52" w:rsidP="00B42F52">
      <w:pPr>
        <w:pStyle w:val="a0"/>
        <w:numPr>
          <w:ilvl w:val="1"/>
          <w:numId w:val="39"/>
        </w:numPr>
        <w:spacing w:after="0" w:line="240" w:lineRule="auto"/>
        <w:ind w:left="0" w:firstLine="1069"/>
        <w:rPr>
          <w:lang w:val="en-US"/>
        </w:rPr>
      </w:pPr>
      <w:r w:rsidRPr="00405115">
        <w:rPr>
          <w:lang w:val="en-US"/>
        </w:rPr>
        <w:t xml:space="preserve">To evaluate the possibility to apply the developed methodological recommendations for project impact assessment to assessing other EDB projects and prepare a relative concluding summary. In case of inapplicability of the methodological recommendations, the Contractor shall explain the impossibility to apply the methodological approaches to assessing other EDB projects and/or the allowances, which may enable the application of the methodological recommendations. In case of applicability of the developed methodological recommendations, the Contractor shall describe the conditions, which enable the application of the methodological </w:t>
      </w:r>
      <w:r w:rsidRPr="00405115">
        <w:rPr>
          <w:lang w:val="en-US"/>
        </w:rPr>
        <w:lastRenderedPageBreak/>
        <w:t xml:space="preserve">recommendations, and provide a list of the EDB investment projects, to which the relative methodological recommendations may be applied. </w:t>
      </w:r>
    </w:p>
    <w:p w14:paraId="78D6CCCA" w14:textId="22EBA9CB" w:rsidR="00B42F52" w:rsidRPr="00405115" w:rsidRDefault="00B42F52" w:rsidP="00B42F52">
      <w:pPr>
        <w:pStyle w:val="a0"/>
        <w:spacing w:after="0" w:line="240" w:lineRule="auto"/>
        <w:ind w:left="0" w:firstLine="851"/>
        <w:rPr>
          <w:lang w:val="en-US"/>
        </w:rPr>
      </w:pPr>
      <w:r w:rsidRPr="00405115">
        <w:rPr>
          <w:lang w:val="en-US"/>
        </w:rPr>
        <w:t>Upon the provision of se</w:t>
      </w:r>
      <w:r>
        <w:rPr>
          <w:lang w:val="en-US"/>
        </w:rPr>
        <w:t>rvices, envisaged within Stage 3</w:t>
      </w:r>
      <w:r w:rsidRPr="00405115">
        <w:rPr>
          <w:lang w:val="en-US"/>
        </w:rPr>
        <w:t>, the Contractor shall prepare, finalize and submit to the EDB the following report documents:</w:t>
      </w:r>
    </w:p>
    <w:p w14:paraId="637B5538" w14:textId="77777777" w:rsidR="00B42F52" w:rsidRPr="00405115" w:rsidRDefault="00B42F52" w:rsidP="00B42F52">
      <w:pPr>
        <w:pStyle w:val="a0"/>
        <w:numPr>
          <w:ilvl w:val="0"/>
          <w:numId w:val="40"/>
        </w:numPr>
        <w:spacing w:after="0" w:line="240" w:lineRule="auto"/>
        <w:ind w:left="0" w:firstLine="1211"/>
        <w:rPr>
          <w:lang w:val="en-US"/>
        </w:rPr>
      </w:pPr>
      <w:r w:rsidRPr="00405115">
        <w:rPr>
          <w:lang w:val="en-US"/>
        </w:rPr>
        <w:t xml:space="preserve">Methodological recommendations on the assessment of the EDB investment project’s impact on the economies of the EDB member states (for each of the three investment projects, approved by the EDB); </w:t>
      </w:r>
    </w:p>
    <w:p w14:paraId="0D813EA8" w14:textId="77777777" w:rsidR="00B42F52" w:rsidRPr="00405115" w:rsidRDefault="00B42F52" w:rsidP="00B42F52">
      <w:pPr>
        <w:pStyle w:val="a0"/>
        <w:numPr>
          <w:ilvl w:val="0"/>
          <w:numId w:val="40"/>
        </w:numPr>
        <w:spacing w:after="0" w:line="240" w:lineRule="auto"/>
        <w:ind w:left="0" w:firstLine="1211"/>
        <w:rPr>
          <w:lang w:val="en-US"/>
        </w:rPr>
      </w:pPr>
      <w:r w:rsidRPr="00405115">
        <w:rPr>
          <w:lang w:val="en-US"/>
        </w:rPr>
        <w:t>The report on the assessment of the EDB investment project’s impact on the economies of the EDB member states (for each of the three investment projects, approved by the EDB);</w:t>
      </w:r>
    </w:p>
    <w:p w14:paraId="324D696E" w14:textId="77777777" w:rsidR="00B42F52" w:rsidRPr="00405115" w:rsidRDefault="00B42F52" w:rsidP="00B42F52">
      <w:pPr>
        <w:pStyle w:val="a0"/>
        <w:numPr>
          <w:ilvl w:val="0"/>
          <w:numId w:val="40"/>
        </w:numPr>
        <w:spacing w:after="0" w:line="240" w:lineRule="auto"/>
        <w:ind w:left="0" w:firstLine="1211"/>
        <w:rPr>
          <w:lang w:val="en-US"/>
        </w:rPr>
      </w:pPr>
      <w:r w:rsidRPr="00405115">
        <w:rPr>
          <w:lang w:val="en-US"/>
        </w:rPr>
        <w:t>The concluding summary on the applicability of the developed methodological recommendations to assessing other EDB projects’ impact on the economies of the EDB member states.</w:t>
      </w:r>
    </w:p>
    <w:p w14:paraId="374953F1" w14:textId="77777777" w:rsidR="00A069F1" w:rsidRPr="00405115" w:rsidRDefault="00A069F1">
      <w:pPr>
        <w:spacing w:after="0" w:line="240" w:lineRule="auto"/>
        <w:ind w:firstLine="0"/>
        <w:rPr>
          <w:lang w:val="en-US" w:eastAsia="ru-RU"/>
        </w:rPr>
      </w:pPr>
    </w:p>
    <w:p w14:paraId="692650CE" w14:textId="59752AE9" w:rsidR="00E31E0B" w:rsidRPr="00405115" w:rsidRDefault="004B162F">
      <w:pPr>
        <w:pStyle w:val="1"/>
        <w:spacing w:before="0" w:after="0"/>
        <w:rPr>
          <w:bCs w:val="0"/>
          <w:sz w:val="24"/>
          <w:szCs w:val="24"/>
          <w:lang w:val="en-US"/>
        </w:rPr>
      </w:pPr>
      <w:r w:rsidRPr="00405115">
        <w:rPr>
          <w:bCs w:val="0"/>
          <w:sz w:val="24"/>
          <w:szCs w:val="24"/>
          <w:lang w:val="en-US"/>
        </w:rPr>
        <w:t>Source data</w:t>
      </w:r>
    </w:p>
    <w:p w14:paraId="2C125672" w14:textId="77777777" w:rsidR="000A6390" w:rsidRPr="00405115" w:rsidRDefault="000A6390" w:rsidP="000E2A2E">
      <w:pPr>
        <w:spacing w:after="0" w:line="240" w:lineRule="auto"/>
        <w:rPr>
          <w:bCs/>
          <w:lang w:val="en-US"/>
        </w:rPr>
      </w:pPr>
    </w:p>
    <w:p w14:paraId="5E016046" w14:textId="7216FCD5" w:rsidR="004B162F" w:rsidRPr="00405115" w:rsidRDefault="004B162F" w:rsidP="004B162F">
      <w:pPr>
        <w:shd w:val="clear" w:color="auto" w:fill="FFFFFF" w:themeFill="background1"/>
        <w:spacing w:line="240" w:lineRule="auto"/>
        <w:rPr>
          <w:lang w:val="en-US" w:eastAsia="en-US"/>
        </w:rPr>
      </w:pPr>
      <w:r w:rsidRPr="00405115">
        <w:rPr>
          <w:lang w:val="en-US" w:eastAsia="en-US"/>
        </w:rPr>
        <w:t xml:space="preserve">As source data the Contractor may use the materials and documents, set-forth in Section 2 of the present Technical Specifications, and the statistical data, obtained from the official sources only, including databases of state bodies and international </w:t>
      </w:r>
      <w:r w:rsidR="00D94E41" w:rsidRPr="00405115">
        <w:rPr>
          <w:lang w:val="en-US" w:eastAsia="en-US"/>
        </w:rPr>
        <w:t>organizations</w:t>
      </w:r>
      <w:r w:rsidRPr="00405115">
        <w:rPr>
          <w:lang w:val="en-US" w:eastAsia="en-US"/>
        </w:rPr>
        <w:t xml:space="preserve">. </w:t>
      </w:r>
    </w:p>
    <w:p w14:paraId="227B7855" w14:textId="58864D9C" w:rsidR="004B162F" w:rsidRPr="00405115" w:rsidRDefault="00B42F52" w:rsidP="004B162F">
      <w:pPr>
        <w:spacing w:after="0" w:line="240" w:lineRule="auto"/>
        <w:rPr>
          <w:lang w:val="en-US" w:eastAsia="x-none"/>
        </w:rPr>
      </w:pPr>
      <w:r>
        <w:rPr>
          <w:lang w:val="en-US" w:eastAsia="en-US"/>
        </w:rPr>
        <w:t>During Stage 3</w:t>
      </w:r>
      <w:r w:rsidR="004B162F" w:rsidRPr="00405115">
        <w:rPr>
          <w:lang w:val="en-US" w:eastAsia="en-US"/>
        </w:rPr>
        <w:t xml:space="preserve"> the EDB shall provide the information on the portfolio of the current/completed projects of the Bank, including the information on the amount of planned for provision/provided financial resources, co-financing </w:t>
      </w:r>
      <w:r w:rsidR="00D94E41" w:rsidRPr="00405115">
        <w:rPr>
          <w:lang w:val="en-US" w:eastAsia="en-US"/>
        </w:rPr>
        <w:t>organizations</w:t>
      </w:r>
      <w:r w:rsidR="004B162F" w:rsidRPr="00405115">
        <w:rPr>
          <w:lang w:val="en-US" w:eastAsia="en-US"/>
        </w:rPr>
        <w:t xml:space="preserve">, the region and the sector of the implemented project and other information, whose provision to the Contractor is necessary and possible for </w:t>
      </w:r>
      <w:r w:rsidR="00D94E41" w:rsidRPr="00405115">
        <w:rPr>
          <w:lang w:val="en-US" w:eastAsia="en-US"/>
        </w:rPr>
        <w:t>analyzing</w:t>
      </w:r>
      <w:r w:rsidR="004B162F" w:rsidRPr="00405115">
        <w:rPr>
          <w:lang w:val="en-US" w:eastAsia="en-US"/>
        </w:rPr>
        <w:t xml:space="preserve"> the Bank’s investment portfolio.</w:t>
      </w:r>
    </w:p>
    <w:p w14:paraId="327ADAAA" w14:textId="77777777" w:rsidR="000A6390" w:rsidRPr="00405115" w:rsidRDefault="000A6390" w:rsidP="00826FD1">
      <w:pPr>
        <w:spacing w:after="0" w:line="240" w:lineRule="auto"/>
        <w:rPr>
          <w:lang w:val="en-US" w:eastAsia="x-none"/>
        </w:rPr>
      </w:pPr>
    </w:p>
    <w:p w14:paraId="45E8C70E" w14:textId="36A2F6A0" w:rsidR="003772CD" w:rsidRPr="00405115" w:rsidRDefault="00177331" w:rsidP="00826FD1">
      <w:pPr>
        <w:pStyle w:val="1"/>
        <w:spacing w:before="0" w:after="0"/>
        <w:rPr>
          <w:lang w:val="en-US"/>
        </w:rPr>
      </w:pPr>
      <w:r w:rsidRPr="00405115">
        <w:rPr>
          <w:bCs w:val="0"/>
          <w:sz w:val="24"/>
          <w:lang w:val="en-US"/>
        </w:rPr>
        <w:t>Services provision plan and report documents</w:t>
      </w:r>
    </w:p>
    <w:tbl>
      <w:tblPr>
        <w:tblStyle w:val="af6"/>
        <w:tblW w:w="10245" w:type="dxa"/>
        <w:tblLook w:val="04A0" w:firstRow="1" w:lastRow="0" w:firstColumn="1" w:lastColumn="0" w:noHBand="0" w:noVBand="1"/>
      </w:tblPr>
      <w:tblGrid>
        <w:gridCol w:w="3415"/>
        <w:gridCol w:w="3415"/>
        <w:gridCol w:w="3415"/>
      </w:tblGrid>
      <w:tr w:rsidR="00B27365" w:rsidRPr="00405115" w14:paraId="53E0217D" w14:textId="77777777" w:rsidTr="00172FC0">
        <w:trPr>
          <w:trHeight w:val="705"/>
        </w:trPr>
        <w:tc>
          <w:tcPr>
            <w:tcW w:w="3415" w:type="dxa"/>
            <w:tcBorders>
              <w:bottom w:val="single" w:sz="18" w:space="0" w:color="auto"/>
            </w:tcBorders>
          </w:tcPr>
          <w:p w14:paraId="0E4516D9" w14:textId="755F398F" w:rsidR="003772CD" w:rsidRPr="00405115" w:rsidRDefault="00177331" w:rsidP="00172FC0">
            <w:pPr>
              <w:shd w:val="clear" w:color="auto" w:fill="auto"/>
              <w:spacing w:after="0" w:line="240" w:lineRule="auto"/>
              <w:ind w:firstLine="0"/>
              <w:jc w:val="left"/>
              <w:rPr>
                <w:b/>
                <w:lang w:val="en-US"/>
              </w:rPr>
            </w:pPr>
            <w:r w:rsidRPr="00405115">
              <w:rPr>
                <w:b/>
                <w:lang w:val="en-US" w:eastAsia="x-none"/>
              </w:rPr>
              <w:t>Stage name</w:t>
            </w:r>
          </w:p>
        </w:tc>
        <w:tc>
          <w:tcPr>
            <w:tcW w:w="3415" w:type="dxa"/>
            <w:tcBorders>
              <w:bottom w:val="single" w:sz="18" w:space="0" w:color="auto"/>
            </w:tcBorders>
          </w:tcPr>
          <w:p w14:paraId="0B8A3E7A" w14:textId="5AE6FCE1" w:rsidR="003772CD" w:rsidRPr="00405115" w:rsidRDefault="00177331" w:rsidP="00172FC0">
            <w:pPr>
              <w:shd w:val="clear" w:color="auto" w:fill="auto"/>
              <w:spacing w:after="0" w:line="240" w:lineRule="auto"/>
              <w:ind w:firstLine="0"/>
              <w:jc w:val="left"/>
              <w:rPr>
                <w:b/>
                <w:lang w:val="en-US" w:eastAsia="x-none"/>
              </w:rPr>
            </w:pPr>
            <w:r w:rsidRPr="00405115">
              <w:rPr>
                <w:b/>
                <w:lang w:val="en-US" w:eastAsia="x-none"/>
              </w:rPr>
              <w:t>Expected result</w:t>
            </w:r>
            <w:r w:rsidR="003772CD" w:rsidRPr="00405115">
              <w:rPr>
                <w:b/>
                <w:lang w:val="en-US" w:eastAsia="x-none"/>
              </w:rPr>
              <w:t xml:space="preserve"> </w:t>
            </w:r>
          </w:p>
        </w:tc>
        <w:tc>
          <w:tcPr>
            <w:tcW w:w="3415" w:type="dxa"/>
            <w:tcBorders>
              <w:bottom w:val="single" w:sz="18" w:space="0" w:color="auto"/>
            </w:tcBorders>
          </w:tcPr>
          <w:p w14:paraId="518B9846" w14:textId="312EAB83" w:rsidR="003772CD" w:rsidRPr="00405115" w:rsidRDefault="00177331" w:rsidP="00172FC0">
            <w:pPr>
              <w:shd w:val="clear" w:color="auto" w:fill="auto"/>
              <w:spacing w:after="0" w:line="240" w:lineRule="auto"/>
              <w:ind w:firstLine="0"/>
              <w:jc w:val="left"/>
              <w:rPr>
                <w:b/>
                <w:lang w:val="en-US" w:eastAsia="x-none"/>
              </w:rPr>
            </w:pPr>
            <w:r w:rsidRPr="00405115">
              <w:rPr>
                <w:b/>
                <w:lang w:val="en-US" w:eastAsia="x-none"/>
              </w:rPr>
              <w:t>Deadline</w:t>
            </w:r>
          </w:p>
        </w:tc>
      </w:tr>
      <w:tr w:rsidR="0034001F" w:rsidRPr="00BA447D" w14:paraId="450F2FA7" w14:textId="77777777" w:rsidTr="00172FC0">
        <w:trPr>
          <w:trHeight w:val="1106"/>
        </w:trPr>
        <w:tc>
          <w:tcPr>
            <w:tcW w:w="3415" w:type="dxa"/>
            <w:vMerge w:val="restart"/>
            <w:tcBorders>
              <w:top w:val="single" w:sz="18" w:space="0" w:color="auto"/>
            </w:tcBorders>
          </w:tcPr>
          <w:p w14:paraId="0C6FA00E" w14:textId="359748B0" w:rsidR="0034001F" w:rsidRPr="00405115" w:rsidRDefault="0034001F" w:rsidP="00172FC0">
            <w:pPr>
              <w:suppressAutoHyphens/>
              <w:spacing w:after="0" w:line="240" w:lineRule="auto"/>
              <w:ind w:firstLine="0"/>
              <w:jc w:val="left"/>
              <w:rPr>
                <w:b/>
                <w:lang w:val="en-US"/>
              </w:rPr>
            </w:pPr>
            <w:r w:rsidRPr="00405115">
              <w:rPr>
                <w:b/>
                <w:lang w:val="en-US"/>
              </w:rPr>
              <w:t xml:space="preserve">Stage 1. Analysis of the IDBs’ best practices </w:t>
            </w:r>
          </w:p>
        </w:tc>
        <w:tc>
          <w:tcPr>
            <w:tcW w:w="3415" w:type="dxa"/>
            <w:tcBorders>
              <w:top w:val="single" w:sz="18" w:space="0" w:color="auto"/>
            </w:tcBorders>
          </w:tcPr>
          <w:p w14:paraId="315BEF7C" w14:textId="0C265511" w:rsidR="0034001F" w:rsidRPr="00405115" w:rsidRDefault="0034001F" w:rsidP="00172FC0">
            <w:pPr>
              <w:shd w:val="clear" w:color="auto" w:fill="auto"/>
              <w:spacing w:after="0" w:line="240" w:lineRule="auto"/>
              <w:ind w:firstLine="0"/>
              <w:jc w:val="left"/>
              <w:rPr>
                <w:lang w:val="en-US" w:eastAsia="x-none"/>
              </w:rPr>
            </w:pPr>
            <w:r w:rsidRPr="00405115">
              <w:rPr>
                <w:lang w:val="en-US"/>
              </w:rPr>
              <w:t>Preliminary version of the IDBs’ best practices Report on project impact assessment shall be prepared and submitted to the EDB.</w:t>
            </w:r>
          </w:p>
        </w:tc>
        <w:tc>
          <w:tcPr>
            <w:tcW w:w="3415" w:type="dxa"/>
            <w:tcBorders>
              <w:top w:val="single" w:sz="18" w:space="0" w:color="auto"/>
            </w:tcBorders>
          </w:tcPr>
          <w:p w14:paraId="2EFF3CF1" w14:textId="37AE1CD6" w:rsidR="0034001F" w:rsidRPr="00405115" w:rsidRDefault="0034001F" w:rsidP="00172FC0">
            <w:pPr>
              <w:shd w:val="clear" w:color="auto" w:fill="auto"/>
              <w:spacing w:after="0" w:line="240" w:lineRule="auto"/>
              <w:ind w:firstLine="0"/>
              <w:jc w:val="left"/>
              <w:rPr>
                <w:lang w:val="en-US" w:eastAsia="x-none"/>
              </w:rPr>
            </w:pPr>
            <w:r w:rsidRPr="00405115">
              <w:rPr>
                <w:lang w:val="en-US" w:eastAsia="x-none"/>
              </w:rPr>
              <w:t>No more than 21 working days</w:t>
            </w:r>
          </w:p>
        </w:tc>
      </w:tr>
      <w:tr w:rsidR="0034001F" w:rsidRPr="00BA447D" w14:paraId="0C26DE27" w14:textId="77777777" w:rsidTr="00172FC0">
        <w:trPr>
          <w:trHeight w:val="836"/>
        </w:trPr>
        <w:tc>
          <w:tcPr>
            <w:tcW w:w="3415" w:type="dxa"/>
            <w:vMerge/>
            <w:tcBorders>
              <w:bottom w:val="single" w:sz="4" w:space="0" w:color="auto"/>
            </w:tcBorders>
          </w:tcPr>
          <w:p w14:paraId="376DB77C" w14:textId="00BE869B" w:rsidR="0034001F" w:rsidRPr="00405115" w:rsidRDefault="0034001F" w:rsidP="00172FC0">
            <w:pPr>
              <w:suppressAutoHyphens/>
              <w:spacing w:after="0" w:line="240" w:lineRule="auto"/>
              <w:ind w:left="284" w:firstLine="0"/>
              <w:jc w:val="left"/>
              <w:rPr>
                <w:lang w:val="en-US"/>
              </w:rPr>
            </w:pPr>
          </w:p>
        </w:tc>
        <w:tc>
          <w:tcPr>
            <w:tcW w:w="3415" w:type="dxa"/>
            <w:tcBorders>
              <w:bottom w:val="single" w:sz="4" w:space="0" w:color="auto"/>
            </w:tcBorders>
          </w:tcPr>
          <w:p w14:paraId="0724D4FC" w14:textId="0FAE8917" w:rsidR="0034001F" w:rsidRPr="00405115" w:rsidRDefault="0034001F" w:rsidP="00172FC0">
            <w:pPr>
              <w:shd w:val="clear" w:color="auto" w:fill="auto"/>
              <w:spacing w:after="0" w:line="240" w:lineRule="auto"/>
              <w:ind w:firstLine="0"/>
              <w:jc w:val="left"/>
              <w:rPr>
                <w:lang w:val="en-US"/>
              </w:rPr>
            </w:pPr>
            <w:r w:rsidRPr="00405115">
              <w:rPr>
                <w:lang w:val="en-US"/>
              </w:rPr>
              <w:t>The final version of the IDBs’ best practices Report on project impact assessment is finalized (if necessary), agreed and submitted to the EDB, with all source documents and data used in its preparation and specified in Section 2 of the present Technical Specifications being attached.</w:t>
            </w:r>
          </w:p>
        </w:tc>
        <w:tc>
          <w:tcPr>
            <w:tcW w:w="3415" w:type="dxa"/>
            <w:tcBorders>
              <w:bottom w:val="single" w:sz="4" w:space="0" w:color="auto"/>
            </w:tcBorders>
          </w:tcPr>
          <w:p w14:paraId="2B0B7F38" w14:textId="249E4148" w:rsidR="0034001F" w:rsidRPr="00405115" w:rsidRDefault="0034001F" w:rsidP="00172FC0">
            <w:pPr>
              <w:shd w:val="clear" w:color="auto" w:fill="auto"/>
              <w:spacing w:after="0" w:line="240" w:lineRule="auto"/>
              <w:ind w:firstLine="0"/>
              <w:jc w:val="left"/>
              <w:rPr>
                <w:lang w:val="en-US"/>
              </w:rPr>
            </w:pPr>
            <w:r w:rsidRPr="00405115">
              <w:rPr>
                <w:lang w:val="en-US" w:eastAsia="x-none"/>
              </w:rPr>
              <w:t>No more than 10 extra days during Stage 1</w:t>
            </w:r>
          </w:p>
        </w:tc>
      </w:tr>
      <w:tr w:rsidR="0034001F" w:rsidRPr="00BA447D" w14:paraId="799C17C2" w14:textId="77777777" w:rsidTr="00172FC0">
        <w:trPr>
          <w:trHeight w:val="2029"/>
        </w:trPr>
        <w:tc>
          <w:tcPr>
            <w:tcW w:w="3415" w:type="dxa"/>
            <w:vMerge w:val="restart"/>
            <w:tcBorders>
              <w:top w:val="single" w:sz="4" w:space="0" w:color="auto"/>
            </w:tcBorders>
          </w:tcPr>
          <w:p w14:paraId="12EB832D" w14:textId="50D4B282" w:rsidR="0034001F" w:rsidRPr="00405115" w:rsidRDefault="0034001F" w:rsidP="00172FC0">
            <w:pPr>
              <w:suppressAutoHyphens/>
              <w:spacing w:after="0" w:line="240" w:lineRule="auto"/>
              <w:ind w:firstLine="0"/>
              <w:jc w:val="left"/>
              <w:rPr>
                <w:lang w:val="en-US"/>
              </w:rPr>
            </w:pPr>
            <w:r w:rsidRPr="00405115">
              <w:rPr>
                <w:b/>
                <w:lang w:val="en-US"/>
              </w:rPr>
              <w:lastRenderedPageBreak/>
              <w:t>Stage 2. Overview of the global trends and prospective dimensions of the development of approaches to assessing development impact effects</w:t>
            </w:r>
          </w:p>
        </w:tc>
        <w:tc>
          <w:tcPr>
            <w:tcW w:w="3415" w:type="dxa"/>
            <w:tcBorders>
              <w:top w:val="single" w:sz="4" w:space="0" w:color="auto"/>
            </w:tcBorders>
          </w:tcPr>
          <w:p w14:paraId="7014151C" w14:textId="7D3FB069" w:rsidR="0034001F" w:rsidRPr="00405115" w:rsidRDefault="0034001F" w:rsidP="00172FC0">
            <w:pPr>
              <w:shd w:val="clear" w:color="auto" w:fill="auto"/>
              <w:spacing w:after="0" w:line="240" w:lineRule="auto"/>
              <w:ind w:firstLine="0"/>
              <w:jc w:val="left"/>
              <w:rPr>
                <w:lang w:val="en-US"/>
              </w:rPr>
            </w:pPr>
            <w:r w:rsidRPr="00405115">
              <w:rPr>
                <w:lang w:val="en-US"/>
              </w:rPr>
              <w:t>A preliminary version of the Report on global trends and prospective dimensions of the development of approaches to assessing development impact of the IDBs’ projects shall be prepared and submitted to the EDB.</w:t>
            </w:r>
          </w:p>
        </w:tc>
        <w:tc>
          <w:tcPr>
            <w:tcW w:w="3415" w:type="dxa"/>
            <w:tcBorders>
              <w:top w:val="single" w:sz="4" w:space="0" w:color="auto"/>
            </w:tcBorders>
          </w:tcPr>
          <w:p w14:paraId="4D7AC31D" w14:textId="5D5D6ACB" w:rsidR="0034001F" w:rsidRPr="00405115" w:rsidRDefault="0034001F" w:rsidP="00172FC0">
            <w:pPr>
              <w:shd w:val="clear" w:color="auto" w:fill="auto"/>
              <w:spacing w:after="0" w:line="240" w:lineRule="auto"/>
              <w:ind w:firstLine="0"/>
              <w:jc w:val="left"/>
              <w:rPr>
                <w:lang w:val="en-US"/>
              </w:rPr>
            </w:pPr>
            <w:r w:rsidRPr="00405115">
              <w:rPr>
                <w:lang w:val="en-US" w:eastAsia="x-none"/>
              </w:rPr>
              <w:t>No more than 20 working days</w:t>
            </w:r>
          </w:p>
        </w:tc>
      </w:tr>
      <w:tr w:rsidR="0034001F" w:rsidRPr="00BA447D" w14:paraId="4605800D" w14:textId="77777777" w:rsidTr="00172FC0">
        <w:trPr>
          <w:trHeight w:val="1265"/>
        </w:trPr>
        <w:tc>
          <w:tcPr>
            <w:tcW w:w="3415" w:type="dxa"/>
            <w:vMerge/>
          </w:tcPr>
          <w:p w14:paraId="7D244BDF" w14:textId="33D33311" w:rsidR="0034001F" w:rsidRPr="00405115" w:rsidRDefault="0034001F" w:rsidP="00172FC0">
            <w:pPr>
              <w:suppressAutoHyphens/>
              <w:spacing w:after="0" w:line="240" w:lineRule="auto"/>
              <w:ind w:firstLine="0"/>
              <w:jc w:val="left"/>
              <w:rPr>
                <w:b/>
                <w:lang w:val="en-US"/>
              </w:rPr>
            </w:pPr>
          </w:p>
        </w:tc>
        <w:tc>
          <w:tcPr>
            <w:tcW w:w="3415" w:type="dxa"/>
            <w:tcBorders>
              <w:top w:val="single" w:sz="4" w:space="0" w:color="auto"/>
            </w:tcBorders>
          </w:tcPr>
          <w:p w14:paraId="747FB1A1" w14:textId="016657E1" w:rsidR="0034001F" w:rsidRPr="00405115" w:rsidRDefault="0034001F" w:rsidP="00172FC0">
            <w:pPr>
              <w:suppressAutoHyphens/>
              <w:spacing w:after="0" w:line="240" w:lineRule="auto"/>
              <w:ind w:firstLine="0"/>
              <w:jc w:val="left"/>
              <w:rPr>
                <w:b/>
                <w:lang w:val="en-US"/>
              </w:rPr>
            </w:pPr>
            <w:r w:rsidRPr="00405115">
              <w:rPr>
                <w:lang w:val="en-US"/>
              </w:rPr>
              <w:t>The final version of the Report on global trends and prospective dimensions of the development of approaches to assessing development impact of the IDBs’ projects shall be finalized (if necessary), agreed and submitted to the EDB.</w:t>
            </w:r>
          </w:p>
        </w:tc>
        <w:tc>
          <w:tcPr>
            <w:tcW w:w="3415" w:type="dxa"/>
            <w:tcBorders>
              <w:top w:val="single" w:sz="4" w:space="0" w:color="auto"/>
            </w:tcBorders>
          </w:tcPr>
          <w:p w14:paraId="61CE64FF" w14:textId="68652032" w:rsidR="0034001F" w:rsidRPr="00405115" w:rsidRDefault="0034001F" w:rsidP="00172FC0">
            <w:pPr>
              <w:suppressAutoHyphens/>
              <w:spacing w:after="0" w:line="240" w:lineRule="auto"/>
              <w:ind w:firstLine="0"/>
              <w:jc w:val="left"/>
              <w:rPr>
                <w:b/>
                <w:lang w:val="en-US"/>
              </w:rPr>
            </w:pPr>
            <w:r w:rsidRPr="00405115">
              <w:rPr>
                <w:lang w:val="en-US" w:eastAsia="x-none"/>
              </w:rPr>
              <w:t>No more than 10 extra days</w:t>
            </w:r>
          </w:p>
        </w:tc>
      </w:tr>
      <w:tr w:rsidR="0034001F" w:rsidRPr="00BA447D" w14:paraId="6AB8C8DF" w14:textId="77777777" w:rsidTr="00172FC0">
        <w:trPr>
          <w:trHeight w:val="1265"/>
        </w:trPr>
        <w:tc>
          <w:tcPr>
            <w:tcW w:w="3415" w:type="dxa"/>
            <w:tcBorders>
              <w:top w:val="single" w:sz="4" w:space="0" w:color="auto"/>
            </w:tcBorders>
          </w:tcPr>
          <w:p w14:paraId="768D7C63" w14:textId="0D3106AE" w:rsidR="0034001F" w:rsidRPr="00405115" w:rsidRDefault="00BA447D" w:rsidP="00172FC0">
            <w:pPr>
              <w:suppressAutoHyphens/>
              <w:spacing w:after="0" w:line="240" w:lineRule="auto"/>
              <w:ind w:firstLine="0"/>
              <w:jc w:val="left"/>
              <w:rPr>
                <w:b/>
                <w:lang w:val="en-US"/>
              </w:rPr>
            </w:pPr>
            <w:r>
              <w:rPr>
                <w:b/>
                <w:lang w:val="en-US"/>
              </w:rPr>
              <w:t>Stage 3. Development of methodological recommendations and a</w:t>
            </w:r>
            <w:r w:rsidR="0034001F" w:rsidRPr="00405115">
              <w:rPr>
                <w:b/>
                <w:lang w:val="en-US"/>
              </w:rPr>
              <w:t>ssessment of the EDB projects' impact on the economies of the Bank’s member state</w:t>
            </w:r>
            <w:bookmarkStart w:id="0" w:name="_GoBack"/>
            <w:bookmarkEnd w:id="0"/>
            <w:r w:rsidR="0034001F" w:rsidRPr="00405115">
              <w:rPr>
                <w:b/>
                <w:lang w:val="en-US"/>
              </w:rPr>
              <w:t>s</w:t>
            </w:r>
          </w:p>
        </w:tc>
        <w:tc>
          <w:tcPr>
            <w:tcW w:w="3415" w:type="dxa"/>
            <w:tcBorders>
              <w:top w:val="single" w:sz="4" w:space="0" w:color="auto"/>
            </w:tcBorders>
          </w:tcPr>
          <w:p w14:paraId="2FF298F2" w14:textId="77777777" w:rsidR="0034001F" w:rsidRPr="00405115" w:rsidRDefault="0034001F" w:rsidP="00172FC0">
            <w:pPr>
              <w:shd w:val="clear" w:color="auto" w:fill="auto"/>
              <w:spacing w:after="0" w:line="240" w:lineRule="auto"/>
              <w:ind w:firstLine="0"/>
              <w:jc w:val="left"/>
              <w:rPr>
                <w:lang w:val="en-US" w:eastAsia="x-none"/>
              </w:rPr>
            </w:pPr>
            <w:r w:rsidRPr="00405115">
              <w:rPr>
                <w:lang w:val="en-US" w:eastAsia="x-none"/>
              </w:rPr>
              <w:t>A list of at least 10 (ten) investment projects, selected to assess their impact on the economies of the EDB member states, shall be prepared and submitted to the EDB.</w:t>
            </w:r>
          </w:p>
          <w:p w14:paraId="08E2561F" w14:textId="77777777" w:rsidR="0034001F" w:rsidRPr="00405115" w:rsidRDefault="0034001F" w:rsidP="00172FC0">
            <w:pPr>
              <w:shd w:val="clear" w:color="auto" w:fill="auto"/>
              <w:spacing w:after="0" w:line="240" w:lineRule="auto"/>
              <w:ind w:firstLine="0"/>
              <w:jc w:val="left"/>
              <w:rPr>
                <w:lang w:val="en-US" w:eastAsia="x-none"/>
              </w:rPr>
            </w:pPr>
          </w:p>
          <w:p w14:paraId="02BE3CD5" w14:textId="3E98E15C" w:rsidR="0034001F" w:rsidRPr="00405115" w:rsidRDefault="0034001F" w:rsidP="00172FC0">
            <w:pPr>
              <w:shd w:val="clear" w:color="auto" w:fill="auto"/>
              <w:spacing w:after="0" w:line="240" w:lineRule="auto"/>
              <w:ind w:firstLine="0"/>
              <w:jc w:val="left"/>
              <w:rPr>
                <w:lang w:val="en-US"/>
              </w:rPr>
            </w:pPr>
            <w:r w:rsidRPr="00405115">
              <w:rPr>
                <w:lang w:val="en-US" w:eastAsia="x-none"/>
              </w:rPr>
              <w:t>The EDB shall approve a list of 3 (three) investment projects, selected to assess their impact on the economies of the EDB member states.</w:t>
            </w:r>
          </w:p>
          <w:p w14:paraId="2CE9D0C9" w14:textId="1BE2925D" w:rsidR="0034001F" w:rsidRPr="00405115" w:rsidRDefault="0034001F" w:rsidP="00172FC0">
            <w:pPr>
              <w:shd w:val="clear" w:color="auto" w:fill="auto"/>
              <w:spacing w:after="0" w:line="240" w:lineRule="auto"/>
              <w:ind w:firstLine="0"/>
              <w:jc w:val="left"/>
              <w:rPr>
                <w:lang w:val="en-US" w:eastAsia="x-none"/>
              </w:rPr>
            </w:pPr>
          </w:p>
        </w:tc>
        <w:tc>
          <w:tcPr>
            <w:tcW w:w="3415" w:type="dxa"/>
            <w:tcBorders>
              <w:top w:val="single" w:sz="4" w:space="0" w:color="auto"/>
            </w:tcBorders>
          </w:tcPr>
          <w:p w14:paraId="20FB7B60" w14:textId="1CA5D3EC" w:rsidR="0034001F" w:rsidRPr="00405115" w:rsidRDefault="0034001F" w:rsidP="00172FC0">
            <w:pPr>
              <w:shd w:val="clear" w:color="auto" w:fill="auto"/>
              <w:spacing w:after="0" w:line="240" w:lineRule="auto"/>
              <w:ind w:firstLine="0"/>
              <w:jc w:val="left"/>
              <w:rPr>
                <w:lang w:val="en-US" w:eastAsia="x-none"/>
              </w:rPr>
            </w:pPr>
            <w:r w:rsidRPr="00405115">
              <w:rPr>
                <w:lang w:val="en-US" w:eastAsia="x-none"/>
              </w:rPr>
              <w:t>No more than 7 working days</w:t>
            </w:r>
          </w:p>
        </w:tc>
      </w:tr>
      <w:tr w:rsidR="0034001F" w:rsidRPr="00BA447D" w14:paraId="51E1B8DC" w14:textId="77777777" w:rsidTr="00172FC0">
        <w:trPr>
          <w:trHeight w:val="1265"/>
        </w:trPr>
        <w:tc>
          <w:tcPr>
            <w:tcW w:w="3415" w:type="dxa"/>
            <w:tcBorders>
              <w:bottom w:val="single" w:sz="4" w:space="0" w:color="auto"/>
            </w:tcBorders>
          </w:tcPr>
          <w:p w14:paraId="4241B9FC" w14:textId="1965CA5F" w:rsidR="0034001F" w:rsidRPr="00405115" w:rsidRDefault="0034001F" w:rsidP="00172FC0">
            <w:pPr>
              <w:suppressAutoHyphens/>
              <w:spacing w:after="0" w:line="240" w:lineRule="auto"/>
              <w:ind w:left="284" w:firstLine="0"/>
              <w:jc w:val="left"/>
              <w:rPr>
                <w:b/>
                <w:lang w:val="en-US"/>
              </w:rPr>
            </w:pPr>
          </w:p>
        </w:tc>
        <w:tc>
          <w:tcPr>
            <w:tcW w:w="3415" w:type="dxa"/>
            <w:tcBorders>
              <w:bottom w:val="single" w:sz="4" w:space="0" w:color="auto"/>
            </w:tcBorders>
          </w:tcPr>
          <w:p w14:paraId="6E88E364" w14:textId="5CBE5056" w:rsidR="0034001F" w:rsidRPr="00405115" w:rsidRDefault="0034001F" w:rsidP="00172FC0">
            <w:pPr>
              <w:shd w:val="clear" w:color="auto" w:fill="auto"/>
              <w:spacing w:after="0" w:line="240" w:lineRule="auto"/>
              <w:ind w:firstLine="0"/>
              <w:jc w:val="left"/>
              <w:rPr>
                <w:lang w:val="en-US"/>
              </w:rPr>
            </w:pPr>
            <w:r w:rsidRPr="00405115">
              <w:rPr>
                <w:lang w:val="en-US"/>
              </w:rPr>
              <w:t>The methodological recommendations for assessing the effects, generated for the economies of the Bank's member states by the EDB investment project (for each of the three investment projects, approved by the EDB) shall be prepared, agreed and submitted to the EDB.</w:t>
            </w:r>
          </w:p>
        </w:tc>
        <w:tc>
          <w:tcPr>
            <w:tcW w:w="3415" w:type="dxa"/>
            <w:tcBorders>
              <w:bottom w:val="single" w:sz="4" w:space="0" w:color="auto"/>
            </w:tcBorders>
          </w:tcPr>
          <w:p w14:paraId="14887448" w14:textId="13250BBA" w:rsidR="0034001F" w:rsidRPr="00405115" w:rsidRDefault="0034001F" w:rsidP="00172FC0">
            <w:pPr>
              <w:shd w:val="clear" w:color="auto" w:fill="auto"/>
              <w:spacing w:after="0" w:line="240" w:lineRule="auto"/>
              <w:ind w:firstLine="0"/>
              <w:jc w:val="left"/>
              <w:rPr>
                <w:lang w:val="en-US" w:eastAsia="x-none"/>
              </w:rPr>
            </w:pPr>
            <w:r w:rsidRPr="00405115">
              <w:rPr>
                <w:lang w:val="en-US" w:eastAsia="x-none"/>
              </w:rPr>
              <w:t>No more than 14 working days</w:t>
            </w:r>
          </w:p>
        </w:tc>
      </w:tr>
      <w:tr w:rsidR="0034001F" w:rsidRPr="00BA447D" w14:paraId="764D8524" w14:textId="77777777" w:rsidTr="00172FC0">
        <w:trPr>
          <w:trHeight w:val="314"/>
        </w:trPr>
        <w:tc>
          <w:tcPr>
            <w:tcW w:w="3415" w:type="dxa"/>
            <w:tcBorders>
              <w:bottom w:val="single" w:sz="4" w:space="0" w:color="auto"/>
            </w:tcBorders>
          </w:tcPr>
          <w:p w14:paraId="5FB1A1EC" w14:textId="06C4B7DD" w:rsidR="0034001F" w:rsidRPr="00405115" w:rsidRDefault="0034001F" w:rsidP="00172FC0">
            <w:pPr>
              <w:suppressAutoHyphens/>
              <w:spacing w:after="0" w:line="240" w:lineRule="auto"/>
              <w:ind w:left="284" w:firstLine="0"/>
              <w:jc w:val="left"/>
              <w:rPr>
                <w:lang w:val="en-US"/>
              </w:rPr>
            </w:pPr>
          </w:p>
        </w:tc>
        <w:tc>
          <w:tcPr>
            <w:tcW w:w="3415" w:type="dxa"/>
            <w:tcBorders>
              <w:bottom w:val="single" w:sz="4" w:space="0" w:color="auto"/>
            </w:tcBorders>
          </w:tcPr>
          <w:p w14:paraId="3C9DC103" w14:textId="77C7FA00" w:rsidR="0034001F" w:rsidRPr="00405115" w:rsidRDefault="0034001F" w:rsidP="00172FC0">
            <w:pPr>
              <w:shd w:val="clear" w:color="auto" w:fill="auto"/>
              <w:spacing w:after="0" w:line="240" w:lineRule="auto"/>
              <w:ind w:firstLine="0"/>
              <w:jc w:val="left"/>
              <w:rPr>
                <w:lang w:val="en-US" w:eastAsia="x-none"/>
              </w:rPr>
            </w:pPr>
            <w:r w:rsidRPr="00405115">
              <w:rPr>
                <w:lang w:val="en-US" w:eastAsia="x-none"/>
              </w:rPr>
              <w:t xml:space="preserve">A report on the assessment of the EDB investment project’s impact on the economies of the Bank's member states (for each of the three investment projects approved by the </w:t>
            </w:r>
            <w:r w:rsidRPr="00405115">
              <w:rPr>
                <w:lang w:val="en-US" w:eastAsia="x-none"/>
              </w:rPr>
              <w:lastRenderedPageBreak/>
              <w:t>EDB) shall be prepared and submitted to the EDB.</w:t>
            </w:r>
          </w:p>
        </w:tc>
        <w:tc>
          <w:tcPr>
            <w:tcW w:w="3415" w:type="dxa"/>
            <w:tcBorders>
              <w:bottom w:val="single" w:sz="4" w:space="0" w:color="auto"/>
            </w:tcBorders>
          </w:tcPr>
          <w:p w14:paraId="0B02679C" w14:textId="004D6738" w:rsidR="0034001F" w:rsidRPr="00405115" w:rsidRDefault="0034001F" w:rsidP="00172FC0">
            <w:pPr>
              <w:shd w:val="clear" w:color="auto" w:fill="auto"/>
              <w:spacing w:after="0" w:line="240" w:lineRule="auto"/>
              <w:ind w:firstLine="0"/>
              <w:jc w:val="left"/>
              <w:rPr>
                <w:lang w:val="en-US" w:eastAsia="x-none"/>
              </w:rPr>
            </w:pPr>
            <w:r w:rsidRPr="00405115">
              <w:rPr>
                <w:lang w:val="en-US" w:eastAsia="x-none"/>
              </w:rPr>
              <w:lastRenderedPageBreak/>
              <w:t>No more than 21 working days</w:t>
            </w:r>
          </w:p>
        </w:tc>
      </w:tr>
      <w:tr w:rsidR="0034001F" w:rsidRPr="00BA447D" w14:paraId="7F65E5E1" w14:textId="77777777" w:rsidTr="00172FC0">
        <w:trPr>
          <w:trHeight w:val="314"/>
        </w:trPr>
        <w:tc>
          <w:tcPr>
            <w:tcW w:w="3415" w:type="dxa"/>
            <w:tcBorders>
              <w:top w:val="single" w:sz="6" w:space="0" w:color="auto"/>
            </w:tcBorders>
          </w:tcPr>
          <w:p w14:paraId="73ABE584" w14:textId="098DE866" w:rsidR="0034001F" w:rsidRPr="00405115" w:rsidRDefault="0034001F" w:rsidP="00172FC0">
            <w:pPr>
              <w:suppressAutoHyphens/>
              <w:spacing w:after="0" w:line="240" w:lineRule="auto"/>
              <w:ind w:left="284" w:firstLine="0"/>
              <w:jc w:val="left"/>
              <w:rPr>
                <w:b/>
                <w:lang w:val="en-US"/>
              </w:rPr>
            </w:pPr>
          </w:p>
        </w:tc>
        <w:tc>
          <w:tcPr>
            <w:tcW w:w="3415" w:type="dxa"/>
            <w:tcBorders>
              <w:top w:val="single" w:sz="6" w:space="0" w:color="auto"/>
            </w:tcBorders>
          </w:tcPr>
          <w:p w14:paraId="2490FCAE" w14:textId="2D94EF7D" w:rsidR="0034001F" w:rsidRPr="00405115" w:rsidRDefault="00172FC0" w:rsidP="00172FC0">
            <w:pPr>
              <w:shd w:val="clear" w:color="auto" w:fill="auto"/>
              <w:spacing w:after="0" w:line="240" w:lineRule="auto"/>
              <w:ind w:firstLine="0"/>
              <w:jc w:val="left"/>
              <w:rPr>
                <w:lang w:val="en-US"/>
              </w:rPr>
            </w:pPr>
            <w:r w:rsidRPr="00405115">
              <w:rPr>
                <w:lang w:val="en-US"/>
              </w:rPr>
              <w:t>Conclusion on the possibility of employing the developed methodological recommendations for assessing the impact on the economies of the Bank's member states, generated by other EDB investment projects, shall be prepared, agreed and submitted to the EDB.</w:t>
            </w:r>
          </w:p>
        </w:tc>
        <w:tc>
          <w:tcPr>
            <w:tcW w:w="3415" w:type="dxa"/>
            <w:tcBorders>
              <w:top w:val="single" w:sz="6" w:space="0" w:color="auto"/>
            </w:tcBorders>
          </w:tcPr>
          <w:p w14:paraId="693A5F46" w14:textId="724EA74B" w:rsidR="0034001F" w:rsidRPr="00405115" w:rsidRDefault="00172FC0" w:rsidP="00172FC0">
            <w:pPr>
              <w:shd w:val="clear" w:color="auto" w:fill="auto"/>
              <w:spacing w:after="0" w:line="240" w:lineRule="auto"/>
              <w:ind w:firstLine="0"/>
              <w:jc w:val="left"/>
              <w:rPr>
                <w:lang w:val="en-US" w:eastAsia="x-none"/>
              </w:rPr>
            </w:pPr>
            <w:r w:rsidRPr="00405115">
              <w:rPr>
                <w:lang w:val="en-US" w:eastAsia="x-none"/>
              </w:rPr>
              <w:t>No more than 7 working days</w:t>
            </w:r>
          </w:p>
        </w:tc>
      </w:tr>
      <w:tr w:rsidR="0034001F" w:rsidRPr="00BA447D" w14:paraId="55689416" w14:textId="77777777" w:rsidTr="00172FC0">
        <w:trPr>
          <w:trHeight w:val="314"/>
        </w:trPr>
        <w:tc>
          <w:tcPr>
            <w:tcW w:w="3415" w:type="dxa"/>
            <w:tcBorders>
              <w:top w:val="single" w:sz="6" w:space="0" w:color="auto"/>
            </w:tcBorders>
          </w:tcPr>
          <w:p w14:paraId="2DF574B3" w14:textId="77777777" w:rsidR="0034001F" w:rsidRPr="00405115" w:rsidRDefault="0034001F" w:rsidP="00172FC0">
            <w:pPr>
              <w:suppressAutoHyphens/>
              <w:spacing w:after="0" w:line="240" w:lineRule="auto"/>
              <w:ind w:left="284" w:firstLine="0"/>
              <w:jc w:val="left"/>
              <w:rPr>
                <w:b/>
                <w:lang w:val="en-US"/>
              </w:rPr>
            </w:pPr>
          </w:p>
        </w:tc>
        <w:tc>
          <w:tcPr>
            <w:tcW w:w="3415" w:type="dxa"/>
            <w:tcBorders>
              <w:top w:val="single" w:sz="6" w:space="0" w:color="auto"/>
            </w:tcBorders>
          </w:tcPr>
          <w:p w14:paraId="3C8AD19E" w14:textId="63604BC0" w:rsidR="0034001F" w:rsidRPr="00405115" w:rsidRDefault="00172FC0" w:rsidP="00172FC0">
            <w:pPr>
              <w:shd w:val="clear" w:color="auto" w:fill="auto"/>
              <w:spacing w:after="0" w:line="240" w:lineRule="auto"/>
              <w:ind w:firstLine="0"/>
              <w:jc w:val="left"/>
              <w:rPr>
                <w:lang w:val="en-US"/>
              </w:rPr>
            </w:pPr>
            <w:r w:rsidRPr="00405115">
              <w:rPr>
                <w:lang w:val="en-US"/>
              </w:rPr>
              <w:t>Report on the assessment of the impact of the EDB investment project on the economies of the Bank's member states (for each of the three investment projects approved by the EDB) finalized (if necessary) and submitted to the EDB.</w:t>
            </w:r>
          </w:p>
        </w:tc>
        <w:tc>
          <w:tcPr>
            <w:tcW w:w="3415" w:type="dxa"/>
            <w:tcBorders>
              <w:top w:val="single" w:sz="6" w:space="0" w:color="auto"/>
            </w:tcBorders>
          </w:tcPr>
          <w:p w14:paraId="34986507" w14:textId="513BF239" w:rsidR="0034001F" w:rsidRPr="00405115" w:rsidRDefault="00172FC0" w:rsidP="00172FC0">
            <w:pPr>
              <w:shd w:val="clear" w:color="auto" w:fill="auto"/>
              <w:spacing w:after="0" w:line="240" w:lineRule="auto"/>
              <w:ind w:firstLine="0"/>
              <w:jc w:val="left"/>
              <w:rPr>
                <w:lang w:val="en-US" w:eastAsia="x-none"/>
              </w:rPr>
            </w:pPr>
            <w:r w:rsidRPr="00405115">
              <w:rPr>
                <w:lang w:val="en-US"/>
              </w:rPr>
              <w:t>No more than 20 extra days during Stage 2</w:t>
            </w:r>
          </w:p>
        </w:tc>
      </w:tr>
    </w:tbl>
    <w:p w14:paraId="5683C2ED" w14:textId="1C56BBED" w:rsidR="00DE4C26" w:rsidRPr="00405115" w:rsidRDefault="00DE4C26" w:rsidP="00172FC0">
      <w:pPr>
        <w:spacing w:after="0" w:line="240" w:lineRule="auto"/>
        <w:ind w:firstLine="0"/>
        <w:rPr>
          <w:lang w:val="en-US"/>
        </w:rPr>
      </w:pPr>
    </w:p>
    <w:p w14:paraId="17D9E234" w14:textId="718794B6" w:rsidR="00091899" w:rsidRPr="00405115" w:rsidRDefault="00177331" w:rsidP="00826FD1">
      <w:pPr>
        <w:pStyle w:val="1"/>
        <w:spacing w:before="0" w:after="0"/>
        <w:rPr>
          <w:bCs w:val="0"/>
          <w:sz w:val="24"/>
          <w:szCs w:val="24"/>
          <w:lang w:val="en-US"/>
        </w:rPr>
      </w:pPr>
      <w:r w:rsidRPr="00405115">
        <w:rPr>
          <w:bCs w:val="0"/>
          <w:sz w:val="24"/>
          <w:szCs w:val="24"/>
          <w:lang w:val="en-US"/>
        </w:rPr>
        <w:t xml:space="preserve">Copyright and material usage permission </w:t>
      </w:r>
    </w:p>
    <w:p w14:paraId="5B5EB268" w14:textId="77777777" w:rsidR="0066746E" w:rsidRPr="00405115" w:rsidRDefault="0066746E" w:rsidP="00826FD1">
      <w:pPr>
        <w:suppressAutoHyphens/>
        <w:spacing w:after="0" w:line="240" w:lineRule="auto"/>
        <w:rPr>
          <w:lang w:val="en-US"/>
        </w:rPr>
      </w:pPr>
    </w:p>
    <w:p w14:paraId="30024E14" w14:textId="3DC1647A" w:rsidR="00177331" w:rsidRPr="00405115" w:rsidRDefault="00177331" w:rsidP="00177331">
      <w:pPr>
        <w:spacing w:line="240" w:lineRule="auto"/>
        <w:rPr>
          <w:lang w:val="en-US"/>
        </w:rPr>
      </w:pPr>
      <w:r w:rsidRPr="00405115">
        <w:rPr>
          <w:lang w:val="en-US"/>
        </w:rPr>
        <w:t xml:space="preserve">The EADB owns the copyright for results of the provision of services. The Contractor is allowed to use/publish the above-mentioned results upon the EDB’s permission. </w:t>
      </w:r>
    </w:p>
    <w:p w14:paraId="637A2F54" w14:textId="6730F8A9" w:rsidR="00177331" w:rsidRPr="00405115" w:rsidRDefault="00177331" w:rsidP="00177331">
      <w:pPr>
        <w:shd w:val="clear" w:color="auto" w:fill="FFFFFF" w:themeFill="background1"/>
        <w:rPr>
          <w:lang w:val="en-US"/>
        </w:rPr>
      </w:pPr>
      <w:r w:rsidRPr="00405115">
        <w:rPr>
          <w:lang w:val="en-US"/>
        </w:rPr>
        <w:t xml:space="preserve">Within the provision of services, set-forth in the present Technical Specifications, the Contractor shall obtain the permission to use the copyrighted materials and, if necessary, settle the financial issues related to the permission acquisition on their own.  </w:t>
      </w:r>
    </w:p>
    <w:p w14:paraId="7CC8DF10" w14:textId="0D62C8D3" w:rsidR="00576322" w:rsidRPr="00177331" w:rsidRDefault="00576322" w:rsidP="00405115">
      <w:pPr>
        <w:spacing w:after="0" w:line="240" w:lineRule="auto"/>
        <w:ind w:firstLine="0"/>
        <w:rPr>
          <w:lang w:val="en-US"/>
        </w:rPr>
      </w:pPr>
    </w:p>
    <w:sectPr w:rsidR="00576322" w:rsidRPr="00177331" w:rsidSect="005D5209">
      <w:headerReference w:type="even" r:id="rId8"/>
      <w:headerReference w:type="default" r:id="rId9"/>
      <w:footerReference w:type="default" r:id="rId10"/>
      <w:footerReference w:type="first" r:id="rId11"/>
      <w:footnotePr>
        <w:pos w:val="beneathText"/>
      </w:footnotePr>
      <w:pgSz w:w="11905" w:h="16837"/>
      <w:pgMar w:top="1134" w:right="851" w:bottom="1134" w:left="1134" w:header="72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44F50" w14:textId="77777777" w:rsidR="00151DB3" w:rsidRDefault="00151DB3" w:rsidP="00254263">
      <w:r>
        <w:separator/>
      </w:r>
    </w:p>
  </w:endnote>
  <w:endnote w:type="continuationSeparator" w:id="0">
    <w:p w14:paraId="0E205C19" w14:textId="77777777" w:rsidR="00151DB3" w:rsidRDefault="00151DB3" w:rsidP="00254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90B16" w14:textId="0D0F8640" w:rsidR="00160EF3" w:rsidRPr="00016C65" w:rsidRDefault="00160EF3" w:rsidP="00016C65">
    <w:pPr>
      <w:pStyle w:val="a6"/>
      <w:jc w:val="right"/>
      <w:rPr>
        <w:sz w:val="20"/>
        <w:szCs w:val="20"/>
      </w:rPr>
    </w:pPr>
    <w:r w:rsidRPr="00016C65">
      <w:rPr>
        <w:sz w:val="20"/>
        <w:szCs w:val="20"/>
      </w:rPr>
      <w:fldChar w:fldCharType="begin"/>
    </w:r>
    <w:r w:rsidRPr="00016C65">
      <w:rPr>
        <w:sz w:val="20"/>
        <w:szCs w:val="20"/>
      </w:rPr>
      <w:instrText>PAGE   \* MERGEFORMAT</w:instrText>
    </w:r>
    <w:r w:rsidRPr="00016C65">
      <w:rPr>
        <w:sz w:val="20"/>
        <w:szCs w:val="20"/>
      </w:rPr>
      <w:fldChar w:fldCharType="separate"/>
    </w:r>
    <w:r w:rsidR="00BA447D" w:rsidRPr="00BA447D">
      <w:rPr>
        <w:noProof/>
        <w:sz w:val="20"/>
        <w:szCs w:val="20"/>
        <w:lang w:val="ru-RU"/>
      </w:rPr>
      <w:t>7</w:t>
    </w:r>
    <w:r w:rsidRPr="00016C65">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F2C27" w14:textId="1E431978" w:rsidR="00160EF3" w:rsidRDefault="00160EF3" w:rsidP="00254263">
    <w:pPr>
      <w:pStyle w:val="a6"/>
    </w:pPr>
    <w:r>
      <w:rPr>
        <w:noProof/>
        <w:lang w:val="ru-RU" w:eastAsia="ru-RU"/>
      </w:rPr>
      <mc:AlternateContent>
        <mc:Choice Requires="wps">
          <w:drawing>
            <wp:anchor distT="0" distB="0" distL="0" distR="0" simplePos="0" relativeHeight="251657728" behindDoc="0" locked="0" layoutInCell="1" allowOverlap="1" wp14:anchorId="6D6505D9" wp14:editId="5EDB4DC3">
              <wp:simplePos x="0" y="0"/>
              <wp:positionH relativeFrom="page">
                <wp:posOffset>7123430</wp:posOffset>
              </wp:positionH>
              <wp:positionV relativeFrom="paragraph">
                <wp:posOffset>635</wp:posOffset>
              </wp:positionV>
              <wp:extent cx="76200" cy="17462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E5A27" w14:textId="77777777" w:rsidR="00160EF3" w:rsidRDefault="00160EF3" w:rsidP="00254263">
                          <w:pPr>
                            <w:pStyle w:val="a6"/>
                          </w:pPr>
                        </w:p>
                        <w:p w14:paraId="70F581FA" w14:textId="77777777" w:rsidR="00160EF3" w:rsidRDefault="00160EF3" w:rsidP="00254263">
                          <w:pPr>
                            <w:pStyle w:val="a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505D9" id="_x0000_t202" coordsize="21600,21600" o:spt="202" path="m,l,21600r21600,l21600,xe">
              <v:stroke joinstyle="miter"/>
              <v:path gradientshapeok="t" o:connecttype="rect"/>
            </v:shapetype>
            <v:shape id="Text Box 2" o:spid="_x0000_s1026" type="#_x0000_t202" style="position:absolute;left:0;text-align:left;margin-left:560.9pt;margin-top:.05pt;width:6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" stroked="f">
              <v:fill opacity="0"/>
              <v:textbox inset="0,0,0,0">
                <w:txbxContent>
                  <w:p w14:paraId="579E5A27" w14:textId="77777777" w:rsidR="00160EF3" w:rsidRDefault="00160EF3" w:rsidP="00254263">
                    <w:pPr>
                      <w:pStyle w:val="a6"/>
                    </w:pPr>
                  </w:p>
                  <w:p w14:paraId="70F581FA" w14:textId="77777777" w:rsidR="00160EF3" w:rsidRDefault="00160EF3" w:rsidP="00254263">
                    <w:pPr>
                      <w:pStyle w:val="a6"/>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6B905" w14:textId="77777777" w:rsidR="00151DB3" w:rsidRDefault="00151DB3" w:rsidP="00254263">
      <w:r>
        <w:separator/>
      </w:r>
    </w:p>
  </w:footnote>
  <w:footnote w:type="continuationSeparator" w:id="0">
    <w:p w14:paraId="6AABCB47" w14:textId="77777777" w:rsidR="00151DB3" w:rsidRDefault="00151DB3" w:rsidP="00254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4129D" w14:textId="77777777" w:rsidR="00160EF3" w:rsidRDefault="00160EF3" w:rsidP="00254263">
    <w:pPr>
      <w:pStyle w:val="a4"/>
      <w:rPr>
        <w:rStyle w:val="a8"/>
      </w:rPr>
    </w:pPr>
    <w:r>
      <w:rPr>
        <w:rStyle w:val="a8"/>
      </w:rPr>
      <w:fldChar w:fldCharType="begin"/>
    </w:r>
    <w:r>
      <w:rPr>
        <w:rStyle w:val="a8"/>
      </w:rPr>
      <w:instrText xml:space="preserve">PAGE  </w:instrText>
    </w:r>
    <w:r>
      <w:rPr>
        <w:rStyle w:val="a8"/>
      </w:rPr>
      <w:fldChar w:fldCharType="end"/>
    </w:r>
  </w:p>
  <w:p w14:paraId="616B1043" w14:textId="77777777" w:rsidR="00160EF3" w:rsidRDefault="00160EF3" w:rsidP="0025426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47DEE" w14:textId="77777777" w:rsidR="00160EF3" w:rsidRDefault="00160EF3" w:rsidP="00254263">
    <w:pPr>
      <w:pStyle w:val="a4"/>
      <w:rPr>
        <w:rStyle w:val="a8"/>
      </w:rPr>
    </w:pPr>
  </w:p>
  <w:p w14:paraId="25AFFAF0" w14:textId="77777777" w:rsidR="00160EF3" w:rsidRDefault="00160EF3" w:rsidP="0025426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3"/>
    <w:lvl w:ilvl="0">
      <w:start w:val="1"/>
      <w:numFmt w:val="decimal"/>
      <w:lvlText w:val="%1."/>
      <w:lvlJc w:val="left"/>
      <w:pPr>
        <w:tabs>
          <w:tab w:val="num" w:pos="1714"/>
        </w:tabs>
        <w:ind w:left="1714" w:hanging="1005"/>
      </w:pPr>
    </w:lvl>
  </w:abstractNum>
  <w:abstractNum w:abstractNumId="1" w15:restartNumberingAfterBreak="0">
    <w:nsid w:val="03E47C2B"/>
    <w:multiLevelType w:val="hybridMultilevel"/>
    <w:tmpl w:val="8B026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8D346D"/>
    <w:multiLevelType w:val="hybridMultilevel"/>
    <w:tmpl w:val="11A40C5C"/>
    <w:lvl w:ilvl="0" w:tplc="B07AC7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A200200"/>
    <w:multiLevelType w:val="hybridMultilevel"/>
    <w:tmpl w:val="D082935C"/>
    <w:lvl w:ilvl="0" w:tplc="B07AC7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1777EC4"/>
    <w:multiLevelType w:val="hybridMultilevel"/>
    <w:tmpl w:val="0C0468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1D63A34"/>
    <w:multiLevelType w:val="hybridMultilevel"/>
    <w:tmpl w:val="151043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42B3AA2"/>
    <w:multiLevelType w:val="hybridMultilevel"/>
    <w:tmpl w:val="6254CC16"/>
    <w:lvl w:ilvl="0" w:tplc="200E25D2">
      <w:start w:val="1"/>
      <w:numFmt w:val="decimal"/>
      <w:suff w:val="space"/>
      <w:lvlText w:val="%1. "/>
      <w:lvlJc w:val="left"/>
      <w:pPr>
        <w:ind w:left="7590" w:hanging="360"/>
      </w:pPr>
      <w:rPr>
        <w:rFonts w:hint="default"/>
        <w:b w:val="0"/>
        <w:spacing w:val="0"/>
        <w:w w:val="100"/>
        <w:sz w:val="22"/>
        <w:szCs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395BD9"/>
    <w:multiLevelType w:val="hybridMultilevel"/>
    <w:tmpl w:val="008EC5D2"/>
    <w:lvl w:ilvl="0" w:tplc="B07AC7A2">
      <w:start w:val="1"/>
      <w:numFmt w:val="bullet"/>
      <w:lvlText w:val="-"/>
      <w:lvlJc w:val="left"/>
      <w:pPr>
        <w:ind w:left="3553" w:hanging="360"/>
      </w:pPr>
      <w:rPr>
        <w:rFonts w:ascii="Courier New" w:hAnsi="Courier New" w:hint="default"/>
      </w:rPr>
    </w:lvl>
    <w:lvl w:ilvl="1" w:tplc="B34050DE">
      <w:start w:val="1"/>
      <w:numFmt w:val="bullet"/>
      <w:suff w:val="space"/>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B5214EC"/>
    <w:multiLevelType w:val="hybridMultilevel"/>
    <w:tmpl w:val="CE682C1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66C11F9"/>
    <w:multiLevelType w:val="hybridMultilevel"/>
    <w:tmpl w:val="73342BDE"/>
    <w:lvl w:ilvl="0" w:tplc="B07AC7A2">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36F80972"/>
    <w:multiLevelType w:val="hybridMultilevel"/>
    <w:tmpl w:val="1B087CCA"/>
    <w:lvl w:ilvl="0" w:tplc="04190001">
      <w:start w:val="1"/>
      <w:numFmt w:val="bullet"/>
      <w:lvlText w:val=""/>
      <w:lvlJc w:val="left"/>
      <w:pPr>
        <w:ind w:left="3553" w:hanging="360"/>
      </w:pPr>
      <w:rPr>
        <w:rFonts w:ascii="Symbol" w:hAnsi="Symbol" w:hint="default"/>
      </w:rPr>
    </w:lvl>
    <w:lvl w:ilvl="1" w:tplc="04190003">
      <w:start w:val="1"/>
      <w:numFmt w:val="bullet"/>
      <w:lvlText w:val="o"/>
      <w:lvlJc w:val="left"/>
      <w:pPr>
        <w:ind w:left="4273" w:hanging="360"/>
      </w:pPr>
      <w:rPr>
        <w:rFonts w:ascii="Courier New" w:hAnsi="Courier New" w:cs="Courier New" w:hint="default"/>
      </w:rPr>
    </w:lvl>
    <w:lvl w:ilvl="2" w:tplc="04190005" w:tentative="1">
      <w:start w:val="1"/>
      <w:numFmt w:val="bullet"/>
      <w:lvlText w:val=""/>
      <w:lvlJc w:val="left"/>
      <w:pPr>
        <w:ind w:left="4993" w:hanging="360"/>
      </w:pPr>
      <w:rPr>
        <w:rFonts w:ascii="Wingdings" w:hAnsi="Wingdings" w:hint="default"/>
      </w:rPr>
    </w:lvl>
    <w:lvl w:ilvl="3" w:tplc="04190001" w:tentative="1">
      <w:start w:val="1"/>
      <w:numFmt w:val="bullet"/>
      <w:lvlText w:val=""/>
      <w:lvlJc w:val="left"/>
      <w:pPr>
        <w:ind w:left="5713" w:hanging="360"/>
      </w:pPr>
      <w:rPr>
        <w:rFonts w:ascii="Symbol" w:hAnsi="Symbol" w:hint="default"/>
      </w:rPr>
    </w:lvl>
    <w:lvl w:ilvl="4" w:tplc="04190003" w:tentative="1">
      <w:start w:val="1"/>
      <w:numFmt w:val="bullet"/>
      <w:lvlText w:val="o"/>
      <w:lvlJc w:val="left"/>
      <w:pPr>
        <w:ind w:left="6433" w:hanging="360"/>
      </w:pPr>
      <w:rPr>
        <w:rFonts w:ascii="Courier New" w:hAnsi="Courier New" w:cs="Courier New" w:hint="default"/>
      </w:rPr>
    </w:lvl>
    <w:lvl w:ilvl="5" w:tplc="04190005" w:tentative="1">
      <w:start w:val="1"/>
      <w:numFmt w:val="bullet"/>
      <w:lvlText w:val=""/>
      <w:lvlJc w:val="left"/>
      <w:pPr>
        <w:ind w:left="7153" w:hanging="360"/>
      </w:pPr>
      <w:rPr>
        <w:rFonts w:ascii="Wingdings" w:hAnsi="Wingdings" w:hint="default"/>
      </w:rPr>
    </w:lvl>
    <w:lvl w:ilvl="6" w:tplc="04190001" w:tentative="1">
      <w:start w:val="1"/>
      <w:numFmt w:val="bullet"/>
      <w:lvlText w:val=""/>
      <w:lvlJc w:val="left"/>
      <w:pPr>
        <w:ind w:left="7873" w:hanging="360"/>
      </w:pPr>
      <w:rPr>
        <w:rFonts w:ascii="Symbol" w:hAnsi="Symbol" w:hint="default"/>
      </w:rPr>
    </w:lvl>
    <w:lvl w:ilvl="7" w:tplc="04190003" w:tentative="1">
      <w:start w:val="1"/>
      <w:numFmt w:val="bullet"/>
      <w:lvlText w:val="o"/>
      <w:lvlJc w:val="left"/>
      <w:pPr>
        <w:ind w:left="8593" w:hanging="360"/>
      </w:pPr>
      <w:rPr>
        <w:rFonts w:ascii="Courier New" w:hAnsi="Courier New" w:cs="Courier New" w:hint="default"/>
      </w:rPr>
    </w:lvl>
    <w:lvl w:ilvl="8" w:tplc="04190005" w:tentative="1">
      <w:start w:val="1"/>
      <w:numFmt w:val="bullet"/>
      <w:lvlText w:val=""/>
      <w:lvlJc w:val="left"/>
      <w:pPr>
        <w:ind w:left="9313" w:hanging="360"/>
      </w:pPr>
      <w:rPr>
        <w:rFonts w:ascii="Wingdings" w:hAnsi="Wingdings" w:hint="default"/>
      </w:rPr>
    </w:lvl>
  </w:abstractNum>
  <w:abstractNum w:abstractNumId="11" w15:restartNumberingAfterBreak="0">
    <w:nsid w:val="3AEF2FD1"/>
    <w:multiLevelType w:val="multilevel"/>
    <w:tmpl w:val="C57CD5EA"/>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2149" w:hanging="108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869" w:hanging="1800"/>
      </w:pPr>
      <w:rPr>
        <w:rFonts w:hint="default"/>
      </w:rPr>
    </w:lvl>
    <w:lvl w:ilvl="6">
      <w:start w:val="1"/>
      <w:numFmt w:val="decimal"/>
      <w:isLgl/>
      <w:lvlText w:val="%1.%2.%3.%4.%5.%6.%7."/>
      <w:lvlJc w:val="left"/>
      <w:pPr>
        <w:ind w:left="3229" w:hanging="216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589" w:hanging="2520"/>
      </w:pPr>
      <w:rPr>
        <w:rFonts w:hint="default"/>
      </w:rPr>
    </w:lvl>
  </w:abstractNum>
  <w:abstractNum w:abstractNumId="12" w15:restartNumberingAfterBreak="0">
    <w:nsid w:val="3B85267E"/>
    <w:multiLevelType w:val="hybridMultilevel"/>
    <w:tmpl w:val="B9628E40"/>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3" w15:restartNumberingAfterBreak="0">
    <w:nsid w:val="41A226F6"/>
    <w:multiLevelType w:val="multilevel"/>
    <w:tmpl w:val="A7107BEA"/>
    <w:lvl w:ilvl="0">
      <w:start w:val="1"/>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3218" w:hanging="108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716" w:hanging="1440"/>
      </w:pPr>
      <w:rPr>
        <w:rFonts w:hint="default"/>
      </w:rPr>
    </w:lvl>
    <w:lvl w:ilvl="5">
      <w:start w:val="1"/>
      <w:numFmt w:val="decimal"/>
      <w:lvlText w:val="%1.%2.%3.%4.%5.%6."/>
      <w:lvlJc w:val="left"/>
      <w:pPr>
        <w:ind w:left="7145" w:hanging="1800"/>
      </w:pPr>
      <w:rPr>
        <w:rFonts w:hint="default"/>
      </w:rPr>
    </w:lvl>
    <w:lvl w:ilvl="6">
      <w:start w:val="1"/>
      <w:numFmt w:val="decimal"/>
      <w:lvlText w:val="%1.%2.%3.%4.%5.%6.%7."/>
      <w:lvlJc w:val="left"/>
      <w:pPr>
        <w:ind w:left="8574" w:hanging="2160"/>
      </w:pPr>
      <w:rPr>
        <w:rFonts w:hint="default"/>
      </w:rPr>
    </w:lvl>
    <w:lvl w:ilvl="7">
      <w:start w:val="1"/>
      <w:numFmt w:val="decimal"/>
      <w:lvlText w:val="%1.%2.%3.%4.%5.%6.%7.%8."/>
      <w:lvlJc w:val="left"/>
      <w:pPr>
        <w:ind w:left="9643" w:hanging="2160"/>
      </w:pPr>
      <w:rPr>
        <w:rFonts w:hint="default"/>
      </w:rPr>
    </w:lvl>
    <w:lvl w:ilvl="8">
      <w:start w:val="1"/>
      <w:numFmt w:val="decimal"/>
      <w:lvlText w:val="%1.%2.%3.%4.%5.%6.%7.%8.%9."/>
      <w:lvlJc w:val="left"/>
      <w:pPr>
        <w:ind w:left="11072" w:hanging="2520"/>
      </w:pPr>
      <w:rPr>
        <w:rFonts w:hint="default"/>
      </w:rPr>
    </w:lvl>
  </w:abstractNum>
  <w:abstractNum w:abstractNumId="14" w15:restartNumberingAfterBreak="0">
    <w:nsid w:val="43AD0D83"/>
    <w:multiLevelType w:val="multilevel"/>
    <w:tmpl w:val="C57CD5EA"/>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2149" w:hanging="108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869" w:hanging="1800"/>
      </w:pPr>
      <w:rPr>
        <w:rFonts w:hint="default"/>
      </w:rPr>
    </w:lvl>
    <w:lvl w:ilvl="6">
      <w:start w:val="1"/>
      <w:numFmt w:val="decimal"/>
      <w:isLgl/>
      <w:lvlText w:val="%1.%2.%3.%4.%5.%6.%7."/>
      <w:lvlJc w:val="left"/>
      <w:pPr>
        <w:ind w:left="3229" w:hanging="216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589" w:hanging="2520"/>
      </w:pPr>
      <w:rPr>
        <w:rFonts w:hint="default"/>
      </w:rPr>
    </w:lvl>
  </w:abstractNum>
  <w:abstractNum w:abstractNumId="15" w15:restartNumberingAfterBreak="0">
    <w:nsid w:val="4BF64E6D"/>
    <w:multiLevelType w:val="hybridMultilevel"/>
    <w:tmpl w:val="F62476B4"/>
    <w:lvl w:ilvl="0" w:tplc="6C52EEC2">
      <w:start w:val="1"/>
      <w:numFmt w:val="decimal"/>
      <w:suff w:val="space"/>
      <w:lvlText w:val="%1."/>
      <w:lvlJc w:val="left"/>
      <w:pPr>
        <w:ind w:left="720" w:hanging="360"/>
      </w:pPr>
      <w:rPr>
        <w:rFonts w:hint="default"/>
        <w:b/>
      </w:rPr>
    </w:lvl>
    <w:lvl w:ilvl="1" w:tplc="04190003" w:tentative="1">
      <w:start w:val="1"/>
      <w:numFmt w:val="bullet"/>
      <w:lvlText w:val="o"/>
      <w:lvlJc w:val="left"/>
      <w:pPr>
        <w:ind w:left="1440" w:hanging="360"/>
      </w:pPr>
      <w:rPr>
        <w:rFonts w:ascii="Courier New" w:hAnsi="Courier New" w:cs="Courier New" w:hint="default"/>
      </w:rPr>
    </w:lvl>
    <w:lvl w:ilvl="2" w:tplc="0E8679CC">
      <w:start w:val="1"/>
      <w:numFmt w:val="bullet"/>
      <w:suff w:val="space"/>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4133496"/>
    <w:multiLevelType w:val="multilevel"/>
    <w:tmpl w:val="2E64224E"/>
    <w:lvl w:ilvl="0">
      <w:start w:val="1"/>
      <w:numFmt w:val="decimal"/>
      <w:lvlText w:val="%1."/>
      <w:lvlJc w:val="left"/>
      <w:pPr>
        <w:ind w:left="480" w:hanging="48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7" w15:restartNumberingAfterBreak="0">
    <w:nsid w:val="5591549D"/>
    <w:multiLevelType w:val="hybridMultilevel"/>
    <w:tmpl w:val="D19E245E"/>
    <w:lvl w:ilvl="0" w:tplc="EAC8A2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6B77D7A"/>
    <w:multiLevelType w:val="hybridMultilevel"/>
    <w:tmpl w:val="ECEE2D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57F10B9B"/>
    <w:multiLevelType w:val="hybridMultilevel"/>
    <w:tmpl w:val="C3504722"/>
    <w:lvl w:ilvl="0" w:tplc="B07AC7A2">
      <w:start w:val="1"/>
      <w:numFmt w:val="bullet"/>
      <w:lvlText w:val="-"/>
      <w:lvlJc w:val="left"/>
      <w:pPr>
        <w:ind w:left="1789" w:hanging="360"/>
      </w:pPr>
      <w:rPr>
        <w:rFonts w:ascii="Courier New" w:hAnsi="Courier New"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0" w15:restartNumberingAfterBreak="0">
    <w:nsid w:val="5B797ED1"/>
    <w:multiLevelType w:val="hybridMultilevel"/>
    <w:tmpl w:val="C0B8E05C"/>
    <w:lvl w:ilvl="0" w:tplc="CFCEBEDE">
      <w:start w:val="1"/>
      <w:numFmt w:val="decimal"/>
      <w:pStyle w:val="1"/>
      <w:suff w:val="space"/>
      <w:lvlText w:val="%1. "/>
      <w:lvlJc w:val="left"/>
      <w:pPr>
        <w:ind w:left="720" w:hanging="360"/>
      </w:pPr>
      <w:rPr>
        <w:rFonts w:hint="default"/>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766671"/>
    <w:multiLevelType w:val="hybridMultilevel"/>
    <w:tmpl w:val="AF9A27AA"/>
    <w:lvl w:ilvl="0" w:tplc="12B4C31A">
      <w:start w:val="1"/>
      <w:numFmt w:val="decimal"/>
      <w:pStyle w:val="2"/>
      <w:suff w:val="space"/>
      <w:lvlText w:val="Этап %1."/>
      <w:lvlJc w:val="left"/>
      <w:pPr>
        <w:ind w:left="1211" w:hanging="360"/>
      </w:pPr>
      <w:rPr>
        <w:rFonts w:hint="default"/>
        <w:b/>
        <w:sz w:val="22"/>
        <w:szCs w:val="22"/>
        <w:u w:val="single"/>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2" w15:restartNumberingAfterBreak="0">
    <w:nsid w:val="5DD73BF8"/>
    <w:multiLevelType w:val="hybridMultilevel"/>
    <w:tmpl w:val="A88A49F4"/>
    <w:lvl w:ilvl="0" w:tplc="8F90F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F21477A"/>
    <w:multiLevelType w:val="hybridMultilevel"/>
    <w:tmpl w:val="86D081E0"/>
    <w:lvl w:ilvl="0" w:tplc="DB40CC56">
      <w:start w:val="1"/>
      <w:numFmt w:val="decimal"/>
      <w:suff w:val="space"/>
      <w:lvlText w:val="%1. "/>
      <w:lvlJc w:val="left"/>
      <w:pPr>
        <w:ind w:left="720" w:hanging="360"/>
      </w:pPr>
      <w:rPr>
        <w:rFonts w:hint="default"/>
        <w:b w:val="0"/>
        <w:spacing w:val="0"/>
        <w:w w:val="10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E67E0B"/>
    <w:multiLevelType w:val="hybridMultilevel"/>
    <w:tmpl w:val="82D47FAC"/>
    <w:lvl w:ilvl="0" w:tplc="B07AC7A2">
      <w:start w:val="1"/>
      <w:numFmt w:val="bullet"/>
      <w:lvlText w:val="-"/>
      <w:lvlJc w:val="left"/>
      <w:pPr>
        <w:ind w:left="1353" w:hanging="360"/>
      </w:pPr>
      <w:rPr>
        <w:rFonts w:ascii="Courier New" w:hAnsi="Courier New" w:hint="default"/>
      </w:rPr>
    </w:lvl>
    <w:lvl w:ilvl="1" w:tplc="04190003" w:tentative="1">
      <w:start w:val="1"/>
      <w:numFmt w:val="bullet"/>
      <w:lvlText w:val="o"/>
      <w:lvlJc w:val="left"/>
      <w:pPr>
        <w:ind w:left="2244" w:hanging="360"/>
      </w:pPr>
      <w:rPr>
        <w:rFonts w:ascii="Courier New" w:hAnsi="Courier New" w:cs="Courier New" w:hint="default"/>
      </w:rPr>
    </w:lvl>
    <w:lvl w:ilvl="2" w:tplc="04190005" w:tentative="1">
      <w:start w:val="1"/>
      <w:numFmt w:val="bullet"/>
      <w:lvlText w:val=""/>
      <w:lvlJc w:val="left"/>
      <w:pPr>
        <w:ind w:left="2964" w:hanging="360"/>
      </w:pPr>
      <w:rPr>
        <w:rFonts w:ascii="Wingdings" w:hAnsi="Wingdings" w:hint="default"/>
      </w:rPr>
    </w:lvl>
    <w:lvl w:ilvl="3" w:tplc="04190001" w:tentative="1">
      <w:start w:val="1"/>
      <w:numFmt w:val="bullet"/>
      <w:lvlText w:val=""/>
      <w:lvlJc w:val="left"/>
      <w:pPr>
        <w:ind w:left="3684" w:hanging="360"/>
      </w:pPr>
      <w:rPr>
        <w:rFonts w:ascii="Symbol" w:hAnsi="Symbol" w:hint="default"/>
      </w:rPr>
    </w:lvl>
    <w:lvl w:ilvl="4" w:tplc="04190003" w:tentative="1">
      <w:start w:val="1"/>
      <w:numFmt w:val="bullet"/>
      <w:lvlText w:val="o"/>
      <w:lvlJc w:val="left"/>
      <w:pPr>
        <w:ind w:left="4404" w:hanging="360"/>
      </w:pPr>
      <w:rPr>
        <w:rFonts w:ascii="Courier New" w:hAnsi="Courier New" w:cs="Courier New" w:hint="default"/>
      </w:rPr>
    </w:lvl>
    <w:lvl w:ilvl="5" w:tplc="04190005" w:tentative="1">
      <w:start w:val="1"/>
      <w:numFmt w:val="bullet"/>
      <w:lvlText w:val=""/>
      <w:lvlJc w:val="left"/>
      <w:pPr>
        <w:ind w:left="5124" w:hanging="360"/>
      </w:pPr>
      <w:rPr>
        <w:rFonts w:ascii="Wingdings" w:hAnsi="Wingdings" w:hint="default"/>
      </w:rPr>
    </w:lvl>
    <w:lvl w:ilvl="6" w:tplc="04190001" w:tentative="1">
      <w:start w:val="1"/>
      <w:numFmt w:val="bullet"/>
      <w:lvlText w:val=""/>
      <w:lvlJc w:val="left"/>
      <w:pPr>
        <w:ind w:left="5844" w:hanging="360"/>
      </w:pPr>
      <w:rPr>
        <w:rFonts w:ascii="Symbol" w:hAnsi="Symbol" w:hint="default"/>
      </w:rPr>
    </w:lvl>
    <w:lvl w:ilvl="7" w:tplc="04190003" w:tentative="1">
      <w:start w:val="1"/>
      <w:numFmt w:val="bullet"/>
      <w:lvlText w:val="o"/>
      <w:lvlJc w:val="left"/>
      <w:pPr>
        <w:ind w:left="6564" w:hanging="360"/>
      </w:pPr>
      <w:rPr>
        <w:rFonts w:ascii="Courier New" w:hAnsi="Courier New" w:cs="Courier New" w:hint="default"/>
      </w:rPr>
    </w:lvl>
    <w:lvl w:ilvl="8" w:tplc="04190005" w:tentative="1">
      <w:start w:val="1"/>
      <w:numFmt w:val="bullet"/>
      <w:lvlText w:val=""/>
      <w:lvlJc w:val="left"/>
      <w:pPr>
        <w:ind w:left="7284" w:hanging="360"/>
      </w:pPr>
      <w:rPr>
        <w:rFonts w:ascii="Wingdings" w:hAnsi="Wingdings" w:hint="default"/>
      </w:rPr>
    </w:lvl>
  </w:abstractNum>
  <w:abstractNum w:abstractNumId="25" w15:restartNumberingAfterBreak="0">
    <w:nsid w:val="69646D17"/>
    <w:multiLevelType w:val="hybridMultilevel"/>
    <w:tmpl w:val="A81A5ED2"/>
    <w:lvl w:ilvl="0" w:tplc="B07AC7A2">
      <w:start w:val="1"/>
      <w:numFmt w:val="bullet"/>
      <w:lvlText w:val="-"/>
      <w:lvlJc w:val="left"/>
      <w:pPr>
        <w:ind w:left="1495"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6E5159A6"/>
    <w:multiLevelType w:val="hybridMultilevel"/>
    <w:tmpl w:val="CFD2211A"/>
    <w:lvl w:ilvl="0" w:tplc="31BC7AC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523DD2"/>
    <w:multiLevelType w:val="multilevel"/>
    <w:tmpl w:val="C57CD5EA"/>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2149" w:hanging="108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869" w:hanging="1800"/>
      </w:pPr>
      <w:rPr>
        <w:rFonts w:hint="default"/>
      </w:rPr>
    </w:lvl>
    <w:lvl w:ilvl="6">
      <w:start w:val="1"/>
      <w:numFmt w:val="decimal"/>
      <w:isLgl/>
      <w:lvlText w:val="%1.%2.%3.%4.%5.%6.%7."/>
      <w:lvlJc w:val="left"/>
      <w:pPr>
        <w:ind w:left="3229" w:hanging="216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589" w:hanging="2520"/>
      </w:pPr>
      <w:rPr>
        <w:rFonts w:hint="default"/>
      </w:rPr>
    </w:lvl>
  </w:abstractNum>
  <w:abstractNum w:abstractNumId="28" w15:restartNumberingAfterBreak="0">
    <w:nsid w:val="72AF0116"/>
    <w:multiLevelType w:val="hybridMultilevel"/>
    <w:tmpl w:val="63F89E56"/>
    <w:lvl w:ilvl="0" w:tplc="28D4C30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E071B32"/>
    <w:multiLevelType w:val="hybridMultilevel"/>
    <w:tmpl w:val="B45CBB00"/>
    <w:lvl w:ilvl="0" w:tplc="4760B34A">
      <w:start w:val="1"/>
      <w:numFmt w:val="bullet"/>
      <w:suff w:val="space"/>
      <w:lvlText w:val=""/>
      <w:lvlJc w:val="left"/>
      <w:pPr>
        <w:ind w:left="106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20"/>
  </w:num>
  <w:num w:numId="3">
    <w:abstractNumId w:val="21"/>
  </w:num>
  <w:num w:numId="4">
    <w:abstractNumId w:val="26"/>
  </w:num>
  <w:num w:numId="5">
    <w:abstractNumId w:val="1"/>
  </w:num>
  <w:num w:numId="6">
    <w:abstractNumId w:val="20"/>
  </w:num>
  <w:num w:numId="7">
    <w:abstractNumId w:val="7"/>
  </w:num>
  <w:num w:numId="8">
    <w:abstractNumId w:val="21"/>
    <w:lvlOverride w:ilvl="0">
      <w:startOverride w:val="1"/>
    </w:lvlOverride>
  </w:num>
  <w:num w:numId="9">
    <w:abstractNumId w:val="21"/>
  </w:num>
  <w:num w:numId="10">
    <w:abstractNumId w:val="21"/>
    <w:lvlOverride w:ilvl="0">
      <w:startOverride w:val="1"/>
    </w:lvlOverride>
  </w:num>
  <w:num w:numId="11">
    <w:abstractNumId w:val="21"/>
  </w:num>
  <w:num w:numId="12">
    <w:abstractNumId w:val="6"/>
  </w:num>
  <w:num w:numId="13">
    <w:abstractNumId w:val="29"/>
  </w:num>
  <w:num w:numId="14">
    <w:abstractNumId w:val="23"/>
  </w:num>
  <w:num w:numId="15">
    <w:abstractNumId w:val="28"/>
  </w:num>
  <w:num w:numId="16">
    <w:abstractNumId w:val="10"/>
  </w:num>
  <w:num w:numId="17">
    <w:abstractNumId w:val="5"/>
  </w:num>
  <w:num w:numId="18">
    <w:abstractNumId w:val="20"/>
  </w:num>
  <w:num w:numId="19">
    <w:abstractNumId w:val="20"/>
  </w:num>
  <w:num w:numId="20">
    <w:abstractNumId w:val="20"/>
  </w:num>
  <w:num w:numId="21">
    <w:abstractNumId w:val="21"/>
  </w:num>
  <w:num w:numId="22">
    <w:abstractNumId w:val="21"/>
  </w:num>
  <w:num w:numId="23">
    <w:abstractNumId w:val="21"/>
  </w:num>
  <w:num w:numId="24">
    <w:abstractNumId w:val="4"/>
  </w:num>
  <w:num w:numId="25">
    <w:abstractNumId w:val="16"/>
  </w:num>
  <w:num w:numId="26">
    <w:abstractNumId w:val="21"/>
  </w:num>
  <w:num w:numId="27">
    <w:abstractNumId w:val="21"/>
  </w:num>
  <w:num w:numId="28">
    <w:abstractNumId w:val="20"/>
  </w:num>
  <w:num w:numId="29">
    <w:abstractNumId w:val="8"/>
  </w:num>
  <w:num w:numId="30">
    <w:abstractNumId w:val="12"/>
  </w:num>
  <w:num w:numId="31">
    <w:abstractNumId w:val="18"/>
  </w:num>
  <w:num w:numId="32">
    <w:abstractNumId w:val="17"/>
  </w:num>
  <w:num w:numId="33">
    <w:abstractNumId w:val="3"/>
  </w:num>
  <w:num w:numId="34">
    <w:abstractNumId w:val="2"/>
  </w:num>
  <w:num w:numId="35">
    <w:abstractNumId w:val="14"/>
  </w:num>
  <w:num w:numId="36">
    <w:abstractNumId w:val="9"/>
  </w:num>
  <w:num w:numId="37">
    <w:abstractNumId w:val="19"/>
  </w:num>
  <w:num w:numId="38">
    <w:abstractNumId w:val="24"/>
  </w:num>
  <w:num w:numId="39">
    <w:abstractNumId w:val="11"/>
  </w:num>
  <w:num w:numId="40">
    <w:abstractNumId w:val="25"/>
  </w:num>
  <w:num w:numId="41">
    <w:abstractNumId w:val="27"/>
  </w:num>
  <w:num w:numId="42">
    <w:abstractNumId w:val="13"/>
  </w:num>
  <w:num w:numId="43">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EAE"/>
    <w:rsid w:val="00003DCC"/>
    <w:rsid w:val="00016C65"/>
    <w:rsid w:val="00026B39"/>
    <w:rsid w:val="000304E1"/>
    <w:rsid w:val="0003288F"/>
    <w:rsid w:val="000328DB"/>
    <w:rsid w:val="00037C5F"/>
    <w:rsid w:val="00046F7C"/>
    <w:rsid w:val="00052C61"/>
    <w:rsid w:val="00055D52"/>
    <w:rsid w:val="0006034F"/>
    <w:rsid w:val="0006466A"/>
    <w:rsid w:val="0006713B"/>
    <w:rsid w:val="00067643"/>
    <w:rsid w:val="000738A4"/>
    <w:rsid w:val="00077337"/>
    <w:rsid w:val="00084CE0"/>
    <w:rsid w:val="00091899"/>
    <w:rsid w:val="000A2552"/>
    <w:rsid w:val="000A6390"/>
    <w:rsid w:val="000B450C"/>
    <w:rsid w:val="000B4664"/>
    <w:rsid w:val="000B4FA7"/>
    <w:rsid w:val="000B563D"/>
    <w:rsid w:val="000C0096"/>
    <w:rsid w:val="000C56D0"/>
    <w:rsid w:val="000D1A9D"/>
    <w:rsid w:val="000D499C"/>
    <w:rsid w:val="000D6930"/>
    <w:rsid w:val="000E2A2E"/>
    <w:rsid w:val="000F1030"/>
    <w:rsid w:val="000F1204"/>
    <w:rsid w:val="00105B68"/>
    <w:rsid w:val="001065F2"/>
    <w:rsid w:val="001065FE"/>
    <w:rsid w:val="0010733A"/>
    <w:rsid w:val="001076FE"/>
    <w:rsid w:val="00107722"/>
    <w:rsid w:val="00113BA8"/>
    <w:rsid w:val="00113DF3"/>
    <w:rsid w:val="00114153"/>
    <w:rsid w:val="00116CA9"/>
    <w:rsid w:val="001256C4"/>
    <w:rsid w:val="00135097"/>
    <w:rsid w:val="001435C4"/>
    <w:rsid w:val="00145D03"/>
    <w:rsid w:val="00150C9E"/>
    <w:rsid w:val="00151DB3"/>
    <w:rsid w:val="00152B46"/>
    <w:rsid w:val="001533C5"/>
    <w:rsid w:val="00160B02"/>
    <w:rsid w:val="00160EF3"/>
    <w:rsid w:val="00165E77"/>
    <w:rsid w:val="00172A10"/>
    <w:rsid w:val="00172FC0"/>
    <w:rsid w:val="00174D5C"/>
    <w:rsid w:val="00175D2C"/>
    <w:rsid w:val="00177331"/>
    <w:rsid w:val="00185F4C"/>
    <w:rsid w:val="001879FE"/>
    <w:rsid w:val="00193F48"/>
    <w:rsid w:val="0019564F"/>
    <w:rsid w:val="001A49E8"/>
    <w:rsid w:val="001B13C2"/>
    <w:rsid w:val="001B49FE"/>
    <w:rsid w:val="001B60F2"/>
    <w:rsid w:val="001C0A69"/>
    <w:rsid w:val="001D4211"/>
    <w:rsid w:val="001D773D"/>
    <w:rsid w:val="001D773F"/>
    <w:rsid w:val="001E5D7E"/>
    <w:rsid w:val="001F1425"/>
    <w:rsid w:val="001F1AB1"/>
    <w:rsid w:val="001F255B"/>
    <w:rsid w:val="001F5348"/>
    <w:rsid w:val="00201861"/>
    <w:rsid w:val="00204288"/>
    <w:rsid w:val="00217471"/>
    <w:rsid w:val="002200B7"/>
    <w:rsid w:val="002209DA"/>
    <w:rsid w:val="00225E64"/>
    <w:rsid w:val="002311C7"/>
    <w:rsid w:val="00231FA9"/>
    <w:rsid w:val="00232EEA"/>
    <w:rsid w:val="0023791F"/>
    <w:rsid w:val="00240334"/>
    <w:rsid w:val="002408D5"/>
    <w:rsid w:val="00243AC8"/>
    <w:rsid w:val="002509FA"/>
    <w:rsid w:val="00251073"/>
    <w:rsid w:val="002538EC"/>
    <w:rsid w:val="00253DFE"/>
    <w:rsid w:val="00254263"/>
    <w:rsid w:val="0026221F"/>
    <w:rsid w:val="00262F1F"/>
    <w:rsid w:val="00266579"/>
    <w:rsid w:val="00267E3B"/>
    <w:rsid w:val="00280490"/>
    <w:rsid w:val="00281234"/>
    <w:rsid w:val="00282CA2"/>
    <w:rsid w:val="00287A32"/>
    <w:rsid w:val="002A7F33"/>
    <w:rsid w:val="002B1001"/>
    <w:rsid w:val="002B294D"/>
    <w:rsid w:val="002C46DE"/>
    <w:rsid w:val="002C599C"/>
    <w:rsid w:val="002C6A2A"/>
    <w:rsid w:val="002D19E1"/>
    <w:rsid w:val="002E4273"/>
    <w:rsid w:val="002E4D36"/>
    <w:rsid w:val="002E68F3"/>
    <w:rsid w:val="002F282C"/>
    <w:rsid w:val="00300077"/>
    <w:rsid w:val="003031C5"/>
    <w:rsid w:val="003102D1"/>
    <w:rsid w:val="00310EDA"/>
    <w:rsid w:val="00313467"/>
    <w:rsid w:val="0031462F"/>
    <w:rsid w:val="00314BA4"/>
    <w:rsid w:val="00314E14"/>
    <w:rsid w:val="003257B3"/>
    <w:rsid w:val="003269FD"/>
    <w:rsid w:val="00326BEF"/>
    <w:rsid w:val="003308E7"/>
    <w:rsid w:val="003335BC"/>
    <w:rsid w:val="00333B63"/>
    <w:rsid w:val="003366E2"/>
    <w:rsid w:val="0034001F"/>
    <w:rsid w:val="003447F0"/>
    <w:rsid w:val="00345254"/>
    <w:rsid w:val="00352876"/>
    <w:rsid w:val="00354268"/>
    <w:rsid w:val="00360D3D"/>
    <w:rsid w:val="00362018"/>
    <w:rsid w:val="00363C88"/>
    <w:rsid w:val="003649D0"/>
    <w:rsid w:val="00367A4F"/>
    <w:rsid w:val="00372D24"/>
    <w:rsid w:val="00372D8A"/>
    <w:rsid w:val="00375548"/>
    <w:rsid w:val="003772CD"/>
    <w:rsid w:val="00385D23"/>
    <w:rsid w:val="0039141A"/>
    <w:rsid w:val="003974D5"/>
    <w:rsid w:val="003A0F7F"/>
    <w:rsid w:val="003A62E6"/>
    <w:rsid w:val="003A73CD"/>
    <w:rsid w:val="003B1BF0"/>
    <w:rsid w:val="003C20B5"/>
    <w:rsid w:val="003C3CA9"/>
    <w:rsid w:val="003D041C"/>
    <w:rsid w:val="003D1EAB"/>
    <w:rsid w:val="003D2C5D"/>
    <w:rsid w:val="003D33CF"/>
    <w:rsid w:val="003E2A64"/>
    <w:rsid w:val="003E2ADA"/>
    <w:rsid w:val="003E4AB0"/>
    <w:rsid w:val="003E5365"/>
    <w:rsid w:val="003E5B30"/>
    <w:rsid w:val="003E60C0"/>
    <w:rsid w:val="003E6DEF"/>
    <w:rsid w:val="003F0386"/>
    <w:rsid w:val="003F2BDC"/>
    <w:rsid w:val="003F4881"/>
    <w:rsid w:val="004023AC"/>
    <w:rsid w:val="00402C2A"/>
    <w:rsid w:val="00405115"/>
    <w:rsid w:val="00405D57"/>
    <w:rsid w:val="00407031"/>
    <w:rsid w:val="0042011C"/>
    <w:rsid w:val="00422DB5"/>
    <w:rsid w:val="00424A63"/>
    <w:rsid w:val="0043026E"/>
    <w:rsid w:val="00433A40"/>
    <w:rsid w:val="00434FBC"/>
    <w:rsid w:val="00436D1F"/>
    <w:rsid w:val="00443F5F"/>
    <w:rsid w:val="004472FB"/>
    <w:rsid w:val="00453D49"/>
    <w:rsid w:val="00455977"/>
    <w:rsid w:val="004559E1"/>
    <w:rsid w:val="004745F0"/>
    <w:rsid w:val="0048696E"/>
    <w:rsid w:val="00491A51"/>
    <w:rsid w:val="00494F5B"/>
    <w:rsid w:val="004B1381"/>
    <w:rsid w:val="004B162F"/>
    <w:rsid w:val="004B2DA6"/>
    <w:rsid w:val="004B3619"/>
    <w:rsid w:val="004C06BA"/>
    <w:rsid w:val="004C4950"/>
    <w:rsid w:val="004C5180"/>
    <w:rsid w:val="004C5F55"/>
    <w:rsid w:val="004D1302"/>
    <w:rsid w:val="004D642F"/>
    <w:rsid w:val="004D76B6"/>
    <w:rsid w:val="004F4586"/>
    <w:rsid w:val="004F5497"/>
    <w:rsid w:val="005119D2"/>
    <w:rsid w:val="00512689"/>
    <w:rsid w:val="005134EF"/>
    <w:rsid w:val="00527D7F"/>
    <w:rsid w:val="0053564B"/>
    <w:rsid w:val="00543417"/>
    <w:rsid w:val="005453A0"/>
    <w:rsid w:val="00546770"/>
    <w:rsid w:val="00550FEF"/>
    <w:rsid w:val="00554179"/>
    <w:rsid w:val="00555A30"/>
    <w:rsid w:val="00562294"/>
    <w:rsid w:val="00562A74"/>
    <w:rsid w:val="00563DA4"/>
    <w:rsid w:val="00571730"/>
    <w:rsid w:val="00574788"/>
    <w:rsid w:val="00574EAF"/>
    <w:rsid w:val="00576322"/>
    <w:rsid w:val="005915D3"/>
    <w:rsid w:val="00591B5D"/>
    <w:rsid w:val="00595A29"/>
    <w:rsid w:val="00596955"/>
    <w:rsid w:val="00596AC2"/>
    <w:rsid w:val="005A1ED2"/>
    <w:rsid w:val="005A2B0D"/>
    <w:rsid w:val="005B3F3C"/>
    <w:rsid w:val="005C0151"/>
    <w:rsid w:val="005C05D0"/>
    <w:rsid w:val="005C3A09"/>
    <w:rsid w:val="005C56ED"/>
    <w:rsid w:val="005C5F6E"/>
    <w:rsid w:val="005C6816"/>
    <w:rsid w:val="005C7FB7"/>
    <w:rsid w:val="005D5209"/>
    <w:rsid w:val="005E136D"/>
    <w:rsid w:val="005E49D3"/>
    <w:rsid w:val="005F09E9"/>
    <w:rsid w:val="005F3CA6"/>
    <w:rsid w:val="005F5F7B"/>
    <w:rsid w:val="005F7342"/>
    <w:rsid w:val="00601F87"/>
    <w:rsid w:val="006020E5"/>
    <w:rsid w:val="00603737"/>
    <w:rsid w:val="00605C17"/>
    <w:rsid w:val="00616E63"/>
    <w:rsid w:val="00617926"/>
    <w:rsid w:val="00627160"/>
    <w:rsid w:val="006335AD"/>
    <w:rsid w:val="00634F2B"/>
    <w:rsid w:val="006379A6"/>
    <w:rsid w:val="0064343D"/>
    <w:rsid w:val="00654540"/>
    <w:rsid w:val="00662B55"/>
    <w:rsid w:val="0066746E"/>
    <w:rsid w:val="00677247"/>
    <w:rsid w:val="00681306"/>
    <w:rsid w:val="006844E5"/>
    <w:rsid w:val="0068615B"/>
    <w:rsid w:val="006A2D7B"/>
    <w:rsid w:val="006A3BFA"/>
    <w:rsid w:val="006C0637"/>
    <w:rsid w:val="006C1389"/>
    <w:rsid w:val="006C4C51"/>
    <w:rsid w:val="006D3302"/>
    <w:rsid w:val="006D5A52"/>
    <w:rsid w:val="006D6D4C"/>
    <w:rsid w:val="006E2BF8"/>
    <w:rsid w:val="006E3D44"/>
    <w:rsid w:val="006F21F7"/>
    <w:rsid w:val="006F5E02"/>
    <w:rsid w:val="006F60FE"/>
    <w:rsid w:val="006F6F11"/>
    <w:rsid w:val="0070311D"/>
    <w:rsid w:val="007033CD"/>
    <w:rsid w:val="007063BA"/>
    <w:rsid w:val="0070641C"/>
    <w:rsid w:val="007137CB"/>
    <w:rsid w:val="0072202A"/>
    <w:rsid w:val="00727CD4"/>
    <w:rsid w:val="0073223D"/>
    <w:rsid w:val="00734817"/>
    <w:rsid w:val="0073580C"/>
    <w:rsid w:val="00736817"/>
    <w:rsid w:val="007443A7"/>
    <w:rsid w:val="00747077"/>
    <w:rsid w:val="00752ACD"/>
    <w:rsid w:val="00753C14"/>
    <w:rsid w:val="00753F0A"/>
    <w:rsid w:val="0075457E"/>
    <w:rsid w:val="00755BD2"/>
    <w:rsid w:val="00755F6D"/>
    <w:rsid w:val="00756F96"/>
    <w:rsid w:val="00757AF0"/>
    <w:rsid w:val="00767390"/>
    <w:rsid w:val="00767DFB"/>
    <w:rsid w:val="007775F0"/>
    <w:rsid w:val="0078405A"/>
    <w:rsid w:val="00785FAA"/>
    <w:rsid w:val="00786AEB"/>
    <w:rsid w:val="00792D21"/>
    <w:rsid w:val="00793BC9"/>
    <w:rsid w:val="0079675F"/>
    <w:rsid w:val="007A02ED"/>
    <w:rsid w:val="007A397B"/>
    <w:rsid w:val="007A7FC8"/>
    <w:rsid w:val="007B39BB"/>
    <w:rsid w:val="007C43D3"/>
    <w:rsid w:val="007D57A2"/>
    <w:rsid w:val="007D7C27"/>
    <w:rsid w:val="007E2D4C"/>
    <w:rsid w:val="007E6444"/>
    <w:rsid w:val="007F2F21"/>
    <w:rsid w:val="007F41F9"/>
    <w:rsid w:val="007F6D39"/>
    <w:rsid w:val="00807656"/>
    <w:rsid w:val="00820D18"/>
    <w:rsid w:val="00821B5B"/>
    <w:rsid w:val="008221E1"/>
    <w:rsid w:val="00824517"/>
    <w:rsid w:val="00825E60"/>
    <w:rsid w:val="00826FD1"/>
    <w:rsid w:val="00831261"/>
    <w:rsid w:val="008330B8"/>
    <w:rsid w:val="00841818"/>
    <w:rsid w:val="00841E78"/>
    <w:rsid w:val="008456B0"/>
    <w:rsid w:val="00846CCF"/>
    <w:rsid w:val="008576BC"/>
    <w:rsid w:val="00862195"/>
    <w:rsid w:val="00863BE5"/>
    <w:rsid w:val="00867F8D"/>
    <w:rsid w:val="00870552"/>
    <w:rsid w:val="00890F12"/>
    <w:rsid w:val="00891976"/>
    <w:rsid w:val="0089268B"/>
    <w:rsid w:val="00892C07"/>
    <w:rsid w:val="00895930"/>
    <w:rsid w:val="00895DC8"/>
    <w:rsid w:val="0089624D"/>
    <w:rsid w:val="008A157B"/>
    <w:rsid w:val="008A3298"/>
    <w:rsid w:val="008A35A3"/>
    <w:rsid w:val="008A5093"/>
    <w:rsid w:val="008A7116"/>
    <w:rsid w:val="008C5FBB"/>
    <w:rsid w:val="008C7A76"/>
    <w:rsid w:val="008D6DF7"/>
    <w:rsid w:val="008E1B94"/>
    <w:rsid w:val="008F6927"/>
    <w:rsid w:val="009000DB"/>
    <w:rsid w:val="009041F8"/>
    <w:rsid w:val="00914405"/>
    <w:rsid w:val="00917D4C"/>
    <w:rsid w:val="009203AB"/>
    <w:rsid w:val="00923B45"/>
    <w:rsid w:val="009244E2"/>
    <w:rsid w:val="00926BF3"/>
    <w:rsid w:val="0094612C"/>
    <w:rsid w:val="00955D5D"/>
    <w:rsid w:val="009613B5"/>
    <w:rsid w:val="00963F64"/>
    <w:rsid w:val="0096435F"/>
    <w:rsid w:val="009651F7"/>
    <w:rsid w:val="009704D4"/>
    <w:rsid w:val="00970753"/>
    <w:rsid w:val="00971481"/>
    <w:rsid w:val="00972E3D"/>
    <w:rsid w:val="00975272"/>
    <w:rsid w:val="009762F8"/>
    <w:rsid w:val="009821A8"/>
    <w:rsid w:val="009864D5"/>
    <w:rsid w:val="00997667"/>
    <w:rsid w:val="009A6F4B"/>
    <w:rsid w:val="009A7EE8"/>
    <w:rsid w:val="009B1BF5"/>
    <w:rsid w:val="009B6FE4"/>
    <w:rsid w:val="009C06D2"/>
    <w:rsid w:val="009C4B9B"/>
    <w:rsid w:val="009D062C"/>
    <w:rsid w:val="009D625B"/>
    <w:rsid w:val="009E00C2"/>
    <w:rsid w:val="009E7567"/>
    <w:rsid w:val="009F0564"/>
    <w:rsid w:val="009F0617"/>
    <w:rsid w:val="009F0B14"/>
    <w:rsid w:val="009F3030"/>
    <w:rsid w:val="00A069F1"/>
    <w:rsid w:val="00A10C39"/>
    <w:rsid w:val="00A25807"/>
    <w:rsid w:val="00A437CB"/>
    <w:rsid w:val="00A521B9"/>
    <w:rsid w:val="00A619DE"/>
    <w:rsid w:val="00A642A5"/>
    <w:rsid w:val="00A729CF"/>
    <w:rsid w:val="00A743E1"/>
    <w:rsid w:val="00A80466"/>
    <w:rsid w:val="00A81FAF"/>
    <w:rsid w:val="00A84C94"/>
    <w:rsid w:val="00A9273A"/>
    <w:rsid w:val="00A93536"/>
    <w:rsid w:val="00A9369A"/>
    <w:rsid w:val="00AA0E84"/>
    <w:rsid w:val="00AA1A8E"/>
    <w:rsid w:val="00AA3071"/>
    <w:rsid w:val="00AA659F"/>
    <w:rsid w:val="00AB0B83"/>
    <w:rsid w:val="00AB76D2"/>
    <w:rsid w:val="00AC233A"/>
    <w:rsid w:val="00AD1F45"/>
    <w:rsid w:val="00AE3B14"/>
    <w:rsid w:val="00AE4A4B"/>
    <w:rsid w:val="00AE5816"/>
    <w:rsid w:val="00AF2F11"/>
    <w:rsid w:val="00B02F4E"/>
    <w:rsid w:val="00B04F18"/>
    <w:rsid w:val="00B12E5D"/>
    <w:rsid w:val="00B13013"/>
    <w:rsid w:val="00B14A57"/>
    <w:rsid w:val="00B169BA"/>
    <w:rsid w:val="00B27365"/>
    <w:rsid w:val="00B33FD4"/>
    <w:rsid w:val="00B34278"/>
    <w:rsid w:val="00B42183"/>
    <w:rsid w:val="00B42F52"/>
    <w:rsid w:val="00B4405E"/>
    <w:rsid w:val="00B45F1E"/>
    <w:rsid w:val="00B47724"/>
    <w:rsid w:val="00B549AA"/>
    <w:rsid w:val="00B65AA1"/>
    <w:rsid w:val="00B6672F"/>
    <w:rsid w:val="00B7062B"/>
    <w:rsid w:val="00B70E1C"/>
    <w:rsid w:val="00B75055"/>
    <w:rsid w:val="00B75729"/>
    <w:rsid w:val="00B75BB6"/>
    <w:rsid w:val="00B77C08"/>
    <w:rsid w:val="00B8429D"/>
    <w:rsid w:val="00B9151F"/>
    <w:rsid w:val="00B9419C"/>
    <w:rsid w:val="00BA21DC"/>
    <w:rsid w:val="00BA447D"/>
    <w:rsid w:val="00BA7331"/>
    <w:rsid w:val="00BC00CD"/>
    <w:rsid w:val="00BC2115"/>
    <w:rsid w:val="00BC6968"/>
    <w:rsid w:val="00BD1755"/>
    <w:rsid w:val="00BD19DD"/>
    <w:rsid w:val="00BE599D"/>
    <w:rsid w:val="00BE601A"/>
    <w:rsid w:val="00BF1A79"/>
    <w:rsid w:val="00BF3441"/>
    <w:rsid w:val="00BF64A5"/>
    <w:rsid w:val="00C032A1"/>
    <w:rsid w:val="00C0429A"/>
    <w:rsid w:val="00C109EE"/>
    <w:rsid w:val="00C117D0"/>
    <w:rsid w:val="00C164C0"/>
    <w:rsid w:val="00C16B5B"/>
    <w:rsid w:val="00C22100"/>
    <w:rsid w:val="00C2252A"/>
    <w:rsid w:val="00C311D7"/>
    <w:rsid w:val="00C32EAF"/>
    <w:rsid w:val="00C32F89"/>
    <w:rsid w:val="00C33FDA"/>
    <w:rsid w:val="00C402DD"/>
    <w:rsid w:val="00C5214C"/>
    <w:rsid w:val="00C5645E"/>
    <w:rsid w:val="00C5688D"/>
    <w:rsid w:val="00C67A2A"/>
    <w:rsid w:val="00C701E7"/>
    <w:rsid w:val="00C83DF3"/>
    <w:rsid w:val="00C97B03"/>
    <w:rsid w:val="00CA7911"/>
    <w:rsid w:val="00CB10F0"/>
    <w:rsid w:val="00CB1CCD"/>
    <w:rsid w:val="00CB569D"/>
    <w:rsid w:val="00CC1281"/>
    <w:rsid w:val="00CC74D5"/>
    <w:rsid w:val="00CD00E4"/>
    <w:rsid w:val="00CD1C94"/>
    <w:rsid w:val="00CD4B93"/>
    <w:rsid w:val="00CE236B"/>
    <w:rsid w:val="00CF05D0"/>
    <w:rsid w:val="00D002DD"/>
    <w:rsid w:val="00D049DB"/>
    <w:rsid w:val="00D11C8D"/>
    <w:rsid w:val="00D15585"/>
    <w:rsid w:val="00D1558B"/>
    <w:rsid w:val="00D15E81"/>
    <w:rsid w:val="00D260FC"/>
    <w:rsid w:val="00D325F2"/>
    <w:rsid w:val="00D377FC"/>
    <w:rsid w:val="00D40376"/>
    <w:rsid w:val="00D457B6"/>
    <w:rsid w:val="00D466C8"/>
    <w:rsid w:val="00D4734E"/>
    <w:rsid w:val="00D54E39"/>
    <w:rsid w:val="00D56294"/>
    <w:rsid w:val="00D56512"/>
    <w:rsid w:val="00D56D4A"/>
    <w:rsid w:val="00D60D1F"/>
    <w:rsid w:val="00D64819"/>
    <w:rsid w:val="00D71F78"/>
    <w:rsid w:val="00D72056"/>
    <w:rsid w:val="00D7248C"/>
    <w:rsid w:val="00D73515"/>
    <w:rsid w:val="00D74B95"/>
    <w:rsid w:val="00D7523C"/>
    <w:rsid w:val="00D800BD"/>
    <w:rsid w:val="00D803B6"/>
    <w:rsid w:val="00D83E2B"/>
    <w:rsid w:val="00D851F9"/>
    <w:rsid w:val="00D869DA"/>
    <w:rsid w:val="00D91EAE"/>
    <w:rsid w:val="00D93F46"/>
    <w:rsid w:val="00D94E41"/>
    <w:rsid w:val="00D970E1"/>
    <w:rsid w:val="00DA64BA"/>
    <w:rsid w:val="00DB28BC"/>
    <w:rsid w:val="00DB3149"/>
    <w:rsid w:val="00DB619B"/>
    <w:rsid w:val="00DB62A1"/>
    <w:rsid w:val="00DC14C2"/>
    <w:rsid w:val="00DC40A3"/>
    <w:rsid w:val="00DC4699"/>
    <w:rsid w:val="00DD0AE2"/>
    <w:rsid w:val="00DD4F3D"/>
    <w:rsid w:val="00DE3B61"/>
    <w:rsid w:val="00DE4C26"/>
    <w:rsid w:val="00DE65C4"/>
    <w:rsid w:val="00DE7583"/>
    <w:rsid w:val="00DF14FF"/>
    <w:rsid w:val="00DF1AFB"/>
    <w:rsid w:val="00E00ABF"/>
    <w:rsid w:val="00E02076"/>
    <w:rsid w:val="00E04AAB"/>
    <w:rsid w:val="00E124A8"/>
    <w:rsid w:val="00E26955"/>
    <w:rsid w:val="00E31E0B"/>
    <w:rsid w:val="00E4703C"/>
    <w:rsid w:val="00E5340B"/>
    <w:rsid w:val="00E53CF8"/>
    <w:rsid w:val="00E63629"/>
    <w:rsid w:val="00E64C80"/>
    <w:rsid w:val="00E66597"/>
    <w:rsid w:val="00E67714"/>
    <w:rsid w:val="00E82A8C"/>
    <w:rsid w:val="00E868B7"/>
    <w:rsid w:val="00E9236B"/>
    <w:rsid w:val="00E925DE"/>
    <w:rsid w:val="00EB153F"/>
    <w:rsid w:val="00EB2220"/>
    <w:rsid w:val="00EB3592"/>
    <w:rsid w:val="00EB5E84"/>
    <w:rsid w:val="00EC1D8D"/>
    <w:rsid w:val="00EC2110"/>
    <w:rsid w:val="00ED6E92"/>
    <w:rsid w:val="00ED7133"/>
    <w:rsid w:val="00ED71E1"/>
    <w:rsid w:val="00ED730B"/>
    <w:rsid w:val="00EE06DD"/>
    <w:rsid w:val="00EF5660"/>
    <w:rsid w:val="00F00E1B"/>
    <w:rsid w:val="00F03CDB"/>
    <w:rsid w:val="00F11E3C"/>
    <w:rsid w:val="00F162B1"/>
    <w:rsid w:val="00F25ECF"/>
    <w:rsid w:val="00F33616"/>
    <w:rsid w:val="00F34399"/>
    <w:rsid w:val="00F36273"/>
    <w:rsid w:val="00F432BC"/>
    <w:rsid w:val="00F474C8"/>
    <w:rsid w:val="00F47A04"/>
    <w:rsid w:val="00F5508A"/>
    <w:rsid w:val="00F60297"/>
    <w:rsid w:val="00F700A7"/>
    <w:rsid w:val="00F77F36"/>
    <w:rsid w:val="00F820C3"/>
    <w:rsid w:val="00F8316C"/>
    <w:rsid w:val="00F90289"/>
    <w:rsid w:val="00F94804"/>
    <w:rsid w:val="00F9625E"/>
    <w:rsid w:val="00FA3623"/>
    <w:rsid w:val="00FA4057"/>
    <w:rsid w:val="00FA4760"/>
    <w:rsid w:val="00FA4BB4"/>
    <w:rsid w:val="00FA649D"/>
    <w:rsid w:val="00FB1BC3"/>
    <w:rsid w:val="00FC2C79"/>
    <w:rsid w:val="00FC2E39"/>
    <w:rsid w:val="00FC2EBB"/>
    <w:rsid w:val="00FC3EB6"/>
    <w:rsid w:val="00FC60F6"/>
    <w:rsid w:val="00FD0124"/>
    <w:rsid w:val="00FD15D8"/>
    <w:rsid w:val="00FD18EE"/>
    <w:rsid w:val="00FD28B4"/>
    <w:rsid w:val="00FD2BF0"/>
    <w:rsid w:val="00FD411B"/>
    <w:rsid w:val="00FE3E95"/>
    <w:rsid w:val="00FF7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4C2C2"/>
  <w15:chartTrackingRefBased/>
  <w15:docId w15:val="{680FD817-981D-47F7-A222-8E232B3D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263"/>
    <w:pPr>
      <w:shd w:val="clear" w:color="auto" w:fill="FFFFFF"/>
      <w:spacing w:after="120" w:line="300" w:lineRule="exact"/>
      <w:ind w:firstLine="709"/>
      <w:jc w:val="both"/>
    </w:pPr>
    <w:rPr>
      <w:rFonts w:ascii="Verdana" w:eastAsia="Times New Roman" w:hAnsi="Verdana"/>
      <w:sz w:val="22"/>
      <w:szCs w:val="22"/>
      <w:lang w:eastAsia="ar-SA"/>
    </w:rPr>
  </w:style>
  <w:style w:type="paragraph" w:styleId="1">
    <w:name w:val="heading 1"/>
    <w:basedOn w:val="a"/>
    <w:next w:val="a"/>
    <w:link w:val="10"/>
    <w:qFormat/>
    <w:rsid w:val="002C46DE"/>
    <w:pPr>
      <w:keepNext/>
      <w:numPr>
        <w:numId w:val="2"/>
      </w:numPr>
      <w:spacing w:before="240" w:line="240" w:lineRule="auto"/>
      <w:jc w:val="center"/>
      <w:outlineLvl w:val="0"/>
    </w:pPr>
    <w:rPr>
      <w:b/>
      <w:bCs/>
      <w:kern w:val="32"/>
      <w:sz w:val="28"/>
      <w:szCs w:val="32"/>
      <w:lang w:val="kk-KZ" w:eastAsia="x-none"/>
    </w:rPr>
  </w:style>
  <w:style w:type="paragraph" w:styleId="2">
    <w:name w:val="heading 2"/>
    <w:basedOn w:val="a0"/>
    <w:next w:val="a"/>
    <w:link w:val="20"/>
    <w:uiPriority w:val="9"/>
    <w:unhideWhenUsed/>
    <w:qFormat/>
    <w:rsid w:val="000C0096"/>
    <w:pPr>
      <w:numPr>
        <w:numId w:val="3"/>
      </w:numPr>
      <w:spacing w:before="240"/>
      <w:ind w:left="7732"/>
      <w:outlineLvl w:val="1"/>
    </w:pPr>
    <w:rPr>
      <w:b/>
      <w:sz w:val="28"/>
      <w:szCs w:val="24"/>
      <w:lang w:eastAsia="ru-RU"/>
    </w:rPr>
  </w:style>
  <w:style w:type="paragraph" w:styleId="3">
    <w:name w:val="heading 3"/>
    <w:basedOn w:val="a"/>
    <w:next w:val="a"/>
    <w:link w:val="30"/>
    <w:uiPriority w:val="9"/>
    <w:semiHidden/>
    <w:unhideWhenUsed/>
    <w:qFormat/>
    <w:rsid w:val="00254263"/>
    <w:pPr>
      <w:keepNext/>
      <w:spacing w:before="240" w:after="60"/>
      <w:outlineLvl w:val="2"/>
    </w:pPr>
    <w:rPr>
      <w:rFonts w:ascii="Calibri Light"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D91EAE"/>
    <w:pPr>
      <w:tabs>
        <w:tab w:val="center" w:pos="4677"/>
        <w:tab w:val="right" w:pos="9355"/>
      </w:tabs>
    </w:pPr>
    <w:rPr>
      <w:lang w:val="x-none"/>
    </w:rPr>
  </w:style>
  <w:style w:type="character" w:customStyle="1" w:styleId="a5">
    <w:name w:val="Верхний колонтитул Знак"/>
    <w:link w:val="a4"/>
    <w:uiPriority w:val="99"/>
    <w:rsid w:val="00D91EAE"/>
    <w:rPr>
      <w:sz w:val="22"/>
      <w:szCs w:val="22"/>
      <w:lang w:eastAsia="en-US"/>
    </w:rPr>
  </w:style>
  <w:style w:type="paragraph" w:styleId="a6">
    <w:name w:val="footer"/>
    <w:basedOn w:val="a"/>
    <w:link w:val="a7"/>
    <w:uiPriority w:val="99"/>
    <w:unhideWhenUsed/>
    <w:rsid w:val="00D91EAE"/>
    <w:pPr>
      <w:tabs>
        <w:tab w:val="center" w:pos="4677"/>
        <w:tab w:val="right" w:pos="9355"/>
      </w:tabs>
    </w:pPr>
    <w:rPr>
      <w:lang w:val="x-none"/>
    </w:rPr>
  </w:style>
  <w:style w:type="character" w:customStyle="1" w:styleId="a7">
    <w:name w:val="Нижний колонтитул Знак"/>
    <w:link w:val="a6"/>
    <w:uiPriority w:val="99"/>
    <w:rsid w:val="00D91EAE"/>
    <w:rPr>
      <w:sz w:val="22"/>
      <w:szCs w:val="22"/>
      <w:lang w:eastAsia="en-US"/>
    </w:rPr>
  </w:style>
  <w:style w:type="character" w:styleId="a8">
    <w:name w:val="page number"/>
    <w:rsid w:val="00D91EAE"/>
  </w:style>
  <w:style w:type="character" w:styleId="a9">
    <w:name w:val="Hyperlink"/>
    <w:rsid w:val="00D91EAE"/>
    <w:rPr>
      <w:color w:val="0000FF"/>
      <w:u w:val="single"/>
    </w:rPr>
  </w:style>
  <w:style w:type="paragraph" w:styleId="aa">
    <w:name w:val="footnote text"/>
    <w:basedOn w:val="a"/>
    <w:link w:val="ab"/>
    <w:uiPriority w:val="99"/>
    <w:rsid w:val="00D91EAE"/>
    <w:pPr>
      <w:spacing w:after="0" w:line="240" w:lineRule="auto"/>
    </w:pPr>
    <w:rPr>
      <w:rFonts w:ascii="Times New Roman" w:hAnsi="Times New Roman"/>
      <w:sz w:val="20"/>
      <w:szCs w:val="20"/>
      <w:lang w:val="x-none"/>
    </w:rPr>
  </w:style>
  <w:style w:type="character" w:customStyle="1" w:styleId="ab">
    <w:name w:val="Текст сноски Знак"/>
    <w:link w:val="aa"/>
    <w:uiPriority w:val="99"/>
    <w:rsid w:val="00D91EAE"/>
    <w:rPr>
      <w:rFonts w:ascii="Times New Roman" w:eastAsia="Times New Roman" w:hAnsi="Times New Roman"/>
      <w:lang w:eastAsia="ar-SA"/>
    </w:rPr>
  </w:style>
  <w:style w:type="character" w:styleId="ac">
    <w:name w:val="footnote reference"/>
    <w:uiPriority w:val="99"/>
    <w:rsid w:val="00D91EAE"/>
    <w:rPr>
      <w:vertAlign w:val="superscript"/>
    </w:rPr>
  </w:style>
  <w:style w:type="paragraph" w:styleId="a0">
    <w:name w:val="List Paragraph"/>
    <w:basedOn w:val="a"/>
    <w:uiPriority w:val="34"/>
    <w:qFormat/>
    <w:rsid w:val="00003DCC"/>
    <w:pPr>
      <w:ind w:left="708"/>
    </w:pPr>
  </w:style>
  <w:style w:type="character" w:styleId="ad">
    <w:name w:val="annotation reference"/>
    <w:uiPriority w:val="99"/>
    <w:semiHidden/>
    <w:unhideWhenUsed/>
    <w:rsid w:val="005F5F7B"/>
    <w:rPr>
      <w:sz w:val="16"/>
      <w:szCs w:val="16"/>
    </w:rPr>
  </w:style>
  <w:style w:type="paragraph" w:styleId="ae">
    <w:name w:val="annotation text"/>
    <w:basedOn w:val="a"/>
    <w:link w:val="af"/>
    <w:uiPriority w:val="99"/>
    <w:unhideWhenUsed/>
    <w:rsid w:val="005F5F7B"/>
    <w:rPr>
      <w:sz w:val="20"/>
      <w:szCs w:val="20"/>
      <w:lang w:val="x-none"/>
    </w:rPr>
  </w:style>
  <w:style w:type="character" w:customStyle="1" w:styleId="af">
    <w:name w:val="Текст примечания Знак"/>
    <w:link w:val="ae"/>
    <w:uiPriority w:val="99"/>
    <w:rsid w:val="005F5F7B"/>
    <w:rPr>
      <w:lang w:eastAsia="en-US"/>
    </w:rPr>
  </w:style>
  <w:style w:type="paragraph" w:styleId="af0">
    <w:name w:val="annotation subject"/>
    <w:basedOn w:val="ae"/>
    <w:next w:val="ae"/>
    <w:link w:val="af1"/>
    <w:uiPriority w:val="99"/>
    <w:semiHidden/>
    <w:unhideWhenUsed/>
    <w:rsid w:val="005F5F7B"/>
    <w:rPr>
      <w:b/>
      <w:bCs/>
    </w:rPr>
  </w:style>
  <w:style w:type="character" w:customStyle="1" w:styleId="af1">
    <w:name w:val="Тема примечания Знак"/>
    <w:link w:val="af0"/>
    <w:uiPriority w:val="99"/>
    <w:semiHidden/>
    <w:rsid w:val="005F5F7B"/>
    <w:rPr>
      <w:b/>
      <w:bCs/>
      <w:lang w:eastAsia="en-US"/>
    </w:rPr>
  </w:style>
  <w:style w:type="paragraph" w:styleId="af2">
    <w:name w:val="Balloon Text"/>
    <w:basedOn w:val="a"/>
    <w:link w:val="af3"/>
    <w:uiPriority w:val="99"/>
    <w:semiHidden/>
    <w:unhideWhenUsed/>
    <w:rsid w:val="005F5F7B"/>
    <w:pPr>
      <w:spacing w:after="0" w:line="240" w:lineRule="auto"/>
    </w:pPr>
    <w:rPr>
      <w:rFonts w:ascii="Tahoma" w:hAnsi="Tahoma"/>
      <w:sz w:val="16"/>
      <w:szCs w:val="16"/>
      <w:lang w:val="x-none"/>
    </w:rPr>
  </w:style>
  <w:style w:type="character" w:customStyle="1" w:styleId="af3">
    <w:name w:val="Текст выноски Знак"/>
    <w:link w:val="af2"/>
    <w:uiPriority w:val="99"/>
    <w:semiHidden/>
    <w:rsid w:val="005F5F7B"/>
    <w:rPr>
      <w:rFonts w:ascii="Tahoma" w:hAnsi="Tahoma" w:cs="Tahoma"/>
      <w:sz w:val="16"/>
      <w:szCs w:val="16"/>
      <w:lang w:eastAsia="en-US"/>
    </w:rPr>
  </w:style>
  <w:style w:type="character" w:styleId="af4">
    <w:name w:val="FollowedHyperlink"/>
    <w:uiPriority w:val="99"/>
    <w:semiHidden/>
    <w:unhideWhenUsed/>
    <w:rsid w:val="00AC233A"/>
    <w:rPr>
      <w:color w:val="954F72"/>
      <w:u w:val="single"/>
    </w:rPr>
  </w:style>
  <w:style w:type="character" w:customStyle="1" w:styleId="10">
    <w:name w:val="Заголовок 1 Знак"/>
    <w:link w:val="1"/>
    <w:rsid w:val="002C46DE"/>
    <w:rPr>
      <w:rFonts w:ascii="Verdana" w:eastAsia="Times New Roman" w:hAnsi="Verdana"/>
      <w:b/>
      <w:bCs/>
      <w:kern w:val="32"/>
      <w:sz w:val="28"/>
      <w:szCs w:val="32"/>
      <w:shd w:val="clear" w:color="auto" w:fill="FFFFFF"/>
      <w:lang w:val="kk-KZ" w:eastAsia="x-none"/>
    </w:rPr>
  </w:style>
  <w:style w:type="paragraph" w:styleId="af5">
    <w:name w:val="No Spacing"/>
    <w:uiPriority w:val="99"/>
    <w:qFormat/>
    <w:rsid w:val="00576322"/>
    <w:rPr>
      <w:rFonts w:ascii="Times New Roman" w:eastAsia="MS Mincho" w:hAnsi="Times New Roman"/>
      <w:sz w:val="24"/>
      <w:szCs w:val="24"/>
    </w:rPr>
  </w:style>
  <w:style w:type="table" w:styleId="af6">
    <w:name w:val="Table Grid"/>
    <w:basedOn w:val="a2"/>
    <w:uiPriority w:val="59"/>
    <w:rsid w:val="00A9273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rsid w:val="000C0096"/>
    <w:rPr>
      <w:rFonts w:ascii="Verdana" w:eastAsia="Times New Roman" w:hAnsi="Verdana"/>
      <w:b/>
      <w:sz w:val="28"/>
      <w:szCs w:val="24"/>
      <w:shd w:val="clear" w:color="auto" w:fill="FFFFFF"/>
    </w:rPr>
  </w:style>
  <w:style w:type="character" w:customStyle="1" w:styleId="30">
    <w:name w:val="Заголовок 3 Знак"/>
    <w:link w:val="3"/>
    <w:uiPriority w:val="9"/>
    <w:semiHidden/>
    <w:rsid w:val="00254263"/>
    <w:rPr>
      <w:rFonts w:ascii="Calibri Light" w:eastAsia="Times New Roman" w:hAnsi="Calibri Light" w:cs="Times New Roman"/>
      <w:b/>
      <w:bCs/>
      <w:sz w:val="26"/>
      <w:szCs w:val="26"/>
      <w:shd w:val="clear" w:color="auto" w:fill="FFFFFF"/>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5439">
      <w:bodyDiv w:val="1"/>
      <w:marLeft w:val="0"/>
      <w:marRight w:val="0"/>
      <w:marTop w:val="0"/>
      <w:marBottom w:val="0"/>
      <w:divBdr>
        <w:top w:val="none" w:sz="0" w:space="0" w:color="auto"/>
        <w:left w:val="none" w:sz="0" w:space="0" w:color="auto"/>
        <w:bottom w:val="none" w:sz="0" w:space="0" w:color="auto"/>
        <w:right w:val="none" w:sz="0" w:space="0" w:color="auto"/>
      </w:divBdr>
    </w:div>
    <w:div w:id="283196857">
      <w:bodyDiv w:val="1"/>
      <w:marLeft w:val="0"/>
      <w:marRight w:val="0"/>
      <w:marTop w:val="0"/>
      <w:marBottom w:val="0"/>
      <w:divBdr>
        <w:top w:val="none" w:sz="0" w:space="0" w:color="auto"/>
        <w:left w:val="none" w:sz="0" w:space="0" w:color="auto"/>
        <w:bottom w:val="none" w:sz="0" w:space="0" w:color="auto"/>
        <w:right w:val="none" w:sz="0" w:space="0" w:color="auto"/>
      </w:divBdr>
    </w:div>
    <w:div w:id="556163464">
      <w:bodyDiv w:val="1"/>
      <w:marLeft w:val="0"/>
      <w:marRight w:val="0"/>
      <w:marTop w:val="0"/>
      <w:marBottom w:val="0"/>
      <w:divBdr>
        <w:top w:val="none" w:sz="0" w:space="0" w:color="auto"/>
        <w:left w:val="none" w:sz="0" w:space="0" w:color="auto"/>
        <w:bottom w:val="none" w:sz="0" w:space="0" w:color="auto"/>
        <w:right w:val="none" w:sz="0" w:space="0" w:color="auto"/>
      </w:divBdr>
    </w:div>
    <w:div w:id="1052465242">
      <w:bodyDiv w:val="1"/>
      <w:marLeft w:val="0"/>
      <w:marRight w:val="0"/>
      <w:marTop w:val="0"/>
      <w:marBottom w:val="0"/>
      <w:divBdr>
        <w:top w:val="none" w:sz="0" w:space="0" w:color="auto"/>
        <w:left w:val="none" w:sz="0" w:space="0" w:color="auto"/>
        <w:bottom w:val="none" w:sz="0" w:space="0" w:color="auto"/>
        <w:right w:val="none" w:sz="0" w:space="0" w:color="auto"/>
      </w:divBdr>
    </w:div>
    <w:div w:id="1176847476">
      <w:bodyDiv w:val="1"/>
      <w:marLeft w:val="0"/>
      <w:marRight w:val="0"/>
      <w:marTop w:val="0"/>
      <w:marBottom w:val="0"/>
      <w:divBdr>
        <w:top w:val="none" w:sz="0" w:space="0" w:color="auto"/>
        <w:left w:val="none" w:sz="0" w:space="0" w:color="auto"/>
        <w:bottom w:val="none" w:sz="0" w:space="0" w:color="auto"/>
        <w:right w:val="none" w:sz="0" w:space="0" w:color="auto"/>
      </w:divBdr>
    </w:div>
    <w:div w:id="1269003689">
      <w:bodyDiv w:val="1"/>
      <w:marLeft w:val="0"/>
      <w:marRight w:val="0"/>
      <w:marTop w:val="0"/>
      <w:marBottom w:val="0"/>
      <w:divBdr>
        <w:top w:val="none" w:sz="0" w:space="0" w:color="auto"/>
        <w:left w:val="none" w:sz="0" w:space="0" w:color="auto"/>
        <w:bottom w:val="none" w:sz="0" w:space="0" w:color="auto"/>
        <w:right w:val="none" w:sz="0" w:space="0" w:color="auto"/>
      </w:divBdr>
    </w:div>
    <w:div w:id="1463844556">
      <w:bodyDiv w:val="1"/>
      <w:marLeft w:val="0"/>
      <w:marRight w:val="0"/>
      <w:marTop w:val="0"/>
      <w:marBottom w:val="0"/>
      <w:divBdr>
        <w:top w:val="none" w:sz="0" w:space="0" w:color="auto"/>
        <w:left w:val="none" w:sz="0" w:space="0" w:color="auto"/>
        <w:bottom w:val="none" w:sz="0" w:space="0" w:color="auto"/>
        <w:right w:val="none" w:sz="0" w:space="0" w:color="auto"/>
      </w:divBdr>
    </w:div>
    <w:div w:id="1700278006">
      <w:bodyDiv w:val="1"/>
      <w:marLeft w:val="0"/>
      <w:marRight w:val="0"/>
      <w:marTop w:val="0"/>
      <w:marBottom w:val="0"/>
      <w:divBdr>
        <w:top w:val="none" w:sz="0" w:space="0" w:color="auto"/>
        <w:left w:val="none" w:sz="0" w:space="0" w:color="auto"/>
        <w:bottom w:val="none" w:sz="0" w:space="0" w:color="auto"/>
        <w:right w:val="none" w:sz="0" w:space="0" w:color="auto"/>
      </w:divBdr>
    </w:div>
    <w:div w:id="1701205981">
      <w:bodyDiv w:val="1"/>
      <w:marLeft w:val="0"/>
      <w:marRight w:val="0"/>
      <w:marTop w:val="0"/>
      <w:marBottom w:val="0"/>
      <w:divBdr>
        <w:top w:val="none" w:sz="0" w:space="0" w:color="auto"/>
        <w:left w:val="none" w:sz="0" w:space="0" w:color="auto"/>
        <w:bottom w:val="none" w:sz="0" w:space="0" w:color="auto"/>
        <w:right w:val="none" w:sz="0" w:space="0" w:color="auto"/>
      </w:divBdr>
    </w:div>
    <w:div w:id="1718503499">
      <w:bodyDiv w:val="1"/>
      <w:marLeft w:val="0"/>
      <w:marRight w:val="0"/>
      <w:marTop w:val="0"/>
      <w:marBottom w:val="0"/>
      <w:divBdr>
        <w:top w:val="none" w:sz="0" w:space="0" w:color="auto"/>
        <w:left w:val="none" w:sz="0" w:space="0" w:color="auto"/>
        <w:bottom w:val="none" w:sz="0" w:space="0" w:color="auto"/>
        <w:right w:val="none" w:sz="0" w:space="0" w:color="auto"/>
      </w:divBdr>
    </w:div>
    <w:div w:id="1907447091">
      <w:bodyDiv w:val="1"/>
      <w:marLeft w:val="0"/>
      <w:marRight w:val="0"/>
      <w:marTop w:val="0"/>
      <w:marBottom w:val="0"/>
      <w:divBdr>
        <w:top w:val="none" w:sz="0" w:space="0" w:color="auto"/>
        <w:left w:val="none" w:sz="0" w:space="0" w:color="auto"/>
        <w:bottom w:val="none" w:sz="0" w:space="0" w:color="auto"/>
        <w:right w:val="none" w:sz="0" w:space="0" w:color="auto"/>
      </w:divBdr>
    </w:div>
    <w:div w:id="1998680438">
      <w:bodyDiv w:val="1"/>
      <w:marLeft w:val="0"/>
      <w:marRight w:val="0"/>
      <w:marTop w:val="0"/>
      <w:marBottom w:val="0"/>
      <w:divBdr>
        <w:top w:val="none" w:sz="0" w:space="0" w:color="auto"/>
        <w:left w:val="none" w:sz="0" w:space="0" w:color="auto"/>
        <w:bottom w:val="none" w:sz="0" w:space="0" w:color="auto"/>
        <w:right w:val="none" w:sz="0" w:space="0" w:color="auto"/>
      </w:divBdr>
    </w:div>
    <w:div w:id="2013993323">
      <w:bodyDiv w:val="1"/>
      <w:marLeft w:val="0"/>
      <w:marRight w:val="0"/>
      <w:marTop w:val="0"/>
      <w:marBottom w:val="0"/>
      <w:divBdr>
        <w:top w:val="none" w:sz="0" w:space="0" w:color="auto"/>
        <w:left w:val="none" w:sz="0" w:space="0" w:color="auto"/>
        <w:bottom w:val="none" w:sz="0" w:space="0" w:color="auto"/>
        <w:right w:val="none" w:sz="0" w:space="0" w:color="auto"/>
      </w:divBdr>
    </w:div>
    <w:div w:id="2020740970">
      <w:bodyDiv w:val="1"/>
      <w:marLeft w:val="0"/>
      <w:marRight w:val="0"/>
      <w:marTop w:val="0"/>
      <w:marBottom w:val="0"/>
      <w:divBdr>
        <w:top w:val="none" w:sz="0" w:space="0" w:color="auto"/>
        <w:left w:val="none" w:sz="0" w:space="0" w:color="auto"/>
        <w:bottom w:val="none" w:sz="0" w:space="0" w:color="auto"/>
        <w:right w:val="none" w:sz="0" w:space="0" w:color="auto"/>
      </w:divBdr>
    </w:div>
    <w:div w:id="2027055452">
      <w:bodyDiv w:val="1"/>
      <w:marLeft w:val="0"/>
      <w:marRight w:val="0"/>
      <w:marTop w:val="0"/>
      <w:marBottom w:val="0"/>
      <w:divBdr>
        <w:top w:val="none" w:sz="0" w:space="0" w:color="auto"/>
        <w:left w:val="none" w:sz="0" w:space="0" w:color="auto"/>
        <w:bottom w:val="none" w:sz="0" w:space="0" w:color="auto"/>
        <w:right w:val="none" w:sz="0" w:space="0" w:color="auto"/>
      </w:divBdr>
    </w:div>
    <w:div w:id="2063865924">
      <w:bodyDiv w:val="1"/>
      <w:marLeft w:val="0"/>
      <w:marRight w:val="0"/>
      <w:marTop w:val="0"/>
      <w:marBottom w:val="0"/>
      <w:divBdr>
        <w:top w:val="none" w:sz="0" w:space="0" w:color="auto"/>
        <w:left w:val="none" w:sz="0" w:space="0" w:color="auto"/>
        <w:bottom w:val="none" w:sz="0" w:space="0" w:color="auto"/>
        <w:right w:val="none" w:sz="0" w:space="0" w:color="auto"/>
      </w:divBdr>
    </w:div>
    <w:div w:id="209408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134B8-F1F0-464B-B25E-2DE97BA3D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2827</Words>
  <Characters>16114</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Цукарев Тарас В.</dc:creator>
  <cp:keywords/>
  <cp:lastModifiedBy>Цигипов Александр Андреевич</cp:lastModifiedBy>
  <cp:revision>6</cp:revision>
  <cp:lastPrinted>2024-05-14T06:53:00Z</cp:lastPrinted>
  <dcterms:created xsi:type="dcterms:W3CDTF">2024-07-08T14:40:00Z</dcterms:created>
  <dcterms:modified xsi:type="dcterms:W3CDTF">2024-07-08T15:29:00Z</dcterms:modified>
</cp:coreProperties>
</file>